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DEA6" w14:textId="77777777" w:rsidR="00754642" w:rsidRPr="00007314" w:rsidRDefault="00754642" w:rsidP="00CF2FDA">
      <w:pPr>
        <w:spacing w:after="0" w:line="276" w:lineRule="auto"/>
        <w:jc w:val="center"/>
        <w:rPr>
          <w:rFonts w:cs="Open Sans"/>
        </w:rPr>
      </w:pPr>
    </w:p>
    <w:p w14:paraId="73D66037" w14:textId="77777777" w:rsidR="00754642" w:rsidRPr="00007314" w:rsidRDefault="00754642" w:rsidP="00CF2FDA">
      <w:pPr>
        <w:spacing w:after="0" w:line="276" w:lineRule="auto"/>
        <w:jc w:val="center"/>
        <w:rPr>
          <w:rFonts w:cs="Open Sans"/>
        </w:rPr>
      </w:pPr>
    </w:p>
    <w:p w14:paraId="02361CFD" w14:textId="77777777" w:rsidR="0058291D" w:rsidRPr="00007314" w:rsidRDefault="00FF7C24" w:rsidP="00CF2FDA">
      <w:pPr>
        <w:spacing w:after="0" w:line="276" w:lineRule="auto"/>
        <w:jc w:val="center"/>
        <w:rPr>
          <w:rFonts w:cs="Open Sans"/>
        </w:rPr>
      </w:pPr>
      <w:r w:rsidRPr="00007314">
        <w:rPr>
          <w:rFonts w:cs="Open Sans"/>
          <w:b/>
          <w:noProof/>
          <w:lang w:eastAsia="pl-PL"/>
        </w:rPr>
        <w:drawing>
          <wp:inline distT="0" distB="0" distL="0" distR="0" wp14:anchorId="28883D2B" wp14:editId="0D9F6913">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7102C4E3" w14:textId="77777777" w:rsidR="00FF7C24" w:rsidRPr="00007314" w:rsidRDefault="00FF7C24" w:rsidP="00CF2FDA">
      <w:pPr>
        <w:spacing w:after="0" w:line="276" w:lineRule="auto"/>
        <w:jc w:val="center"/>
        <w:rPr>
          <w:rFonts w:cs="Open Sans"/>
        </w:rPr>
      </w:pPr>
    </w:p>
    <w:p w14:paraId="12483467" w14:textId="77777777" w:rsidR="00FF7C24" w:rsidRPr="00007314" w:rsidRDefault="00FF7C24" w:rsidP="00CF2FDA">
      <w:pPr>
        <w:spacing w:after="0" w:line="276" w:lineRule="auto"/>
        <w:jc w:val="center"/>
        <w:rPr>
          <w:rFonts w:cs="Open Sans"/>
          <w:b/>
        </w:rPr>
      </w:pPr>
      <w:r w:rsidRPr="00007314">
        <w:rPr>
          <w:rFonts w:cs="Open Sans"/>
          <w:b/>
        </w:rPr>
        <w:t>SPECYFIKACJA ISTOTNYCH WARUNKÓW ZAMÓWIENIA</w:t>
      </w:r>
    </w:p>
    <w:p w14:paraId="770F083D" w14:textId="77777777" w:rsidR="00FF7C24" w:rsidRPr="00007314" w:rsidRDefault="00FF7C24" w:rsidP="00CF2FDA">
      <w:pPr>
        <w:spacing w:after="0" w:line="276" w:lineRule="auto"/>
        <w:jc w:val="center"/>
        <w:rPr>
          <w:rFonts w:cs="Open Sans"/>
          <w:b/>
        </w:rPr>
      </w:pPr>
    </w:p>
    <w:p w14:paraId="16BC0E8A" w14:textId="72D7B812" w:rsidR="00FF7C24" w:rsidRPr="00007314" w:rsidRDefault="00FF7C24" w:rsidP="00CF2FDA">
      <w:pPr>
        <w:spacing w:after="0" w:line="276" w:lineRule="auto"/>
        <w:jc w:val="center"/>
        <w:rPr>
          <w:rFonts w:cs="Open Sans"/>
        </w:rPr>
      </w:pPr>
      <w:r w:rsidRPr="00007314">
        <w:rPr>
          <w:rFonts w:cs="Open Sans"/>
        </w:rPr>
        <w:t xml:space="preserve">w postępowaniu o udzielenie zamówienia publicznego o wartości </w:t>
      </w:r>
      <w:r w:rsidR="00007314">
        <w:rPr>
          <w:rFonts w:cs="Open Sans"/>
        </w:rPr>
        <w:t xml:space="preserve">poniżej </w:t>
      </w:r>
      <w:r w:rsidRPr="00007314">
        <w:rPr>
          <w:rFonts w:cs="Open Sans"/>
        </w:rPr>
        <w:t>wyrażon</w:t>
      </w:r>
      <w:r w:rsidR="002519E9" w:rsidRPr="00007314">
        <w:rPr>
          <w:rFonts w:cs="Open Sans"/>
        </w:rPr>
        <w:t>ej</w:t>
      </w:r>
      <w:r w:rsidRPr="00007314">
        <w:rPr>
          <w:rFonts w:cs="Open Sans"/>
        </w:rPr>
        <w:t xml:space="preserve"> w złotych równowartoś</w:t>
      </w:r>
      <w:r w:rsidR="002519E9" w:rsidRPr="00007314">
        <w:rPr>
          <w:rFonts w:cs="Open Sans"/>
        </w:rPr>
        <w:t>ci</w:t>
      </w:r>
      <w:r w:rsidRPr="00007314">
        <w:rPr>
          <w:rFonts w:cs="Open Sans"/>
        </w:rPr>
        <w:t xml:space="preserve"> kwoty </w:t>
      </w:r>
      <w:r w:rsidR="00F4743D" w:rsidRPr="00007314">
        <w:rPr>
          <w:rFonts w:cs="Open Sans"/>
        </w:rPr>
        <w:t>2</w:t>
      </w:r>
      <w:r w:rsidR="007205B2">
        <w:rPr>
          <w:rFonts w:cs="Open Sans"/>
        </w:rPr>
        <w:t>14</w:t>
      </w:r>
      <w:r w:rsidR="00F4743D" w:rsidRPr="00007314">
        <w:rPr>
          <w:rFonts w:cs="Open Sans"/>
        </w:rPr>
        <w:t> </w:t>
      </w:r>
      <w:r w:rsidRPr="00007314">
        <w:rPr>
          <w:rFonts w:cs="Open Sans"/>
        </w:rPr>
        <w:t>000 euro</w:t>
      </w:r>
    </w:p>
    <w:p w14:paraId="478679B5" w14:textId="77777777" w:rsidR="00FF7C24" w:rsidRPr="00007314" w:rsidRDefault="00FF7C24" w:rsidP="00CF2FDA">
      <w:pPr>
        <w:spacing w:after="0" w:line="276" w:lineRule="auto"/>
        <w:jc w:val="center"/>
        <w:rPr>
          <w:rFonts w:cs="Open Sans"/>
        </w:rPr>
      </w:pPr>
    </w:p>
    <w:p w14:paraId="0CF7E9BA" w14:textId="7ED990AD" w:rsidR="00FF7C24" w:rsidRPr="004B64F4" w:rsidRDefault="00FF7C24" w:rsidP="00CF2FDA">
      <w:pPr>
        <w:spacing w:after="0" w:line="276" w:lineRule="auto"/>
        <w:jc w:val="center"/>
        <w:rPr>
          <w:rFonts w:cs="Open Sans"/>
          <w:b/>
          <w:sz w:val="36"/>
          <w:szCs w:val="36"/>
        </w:rPr>
      </w:pPr>
      <w:r w:rsidRPr="004B64F4">
        <w:rPr>
          <w:rFonts w:cs="Open Sans"/>
          <w:b/>
          <w:sz w:val="36"/>
          <w:szCs w:val="36"/>
        </w:rPr>
        <w:t>PN/</w:t>
      </w:r>
      <w:r w:rsidR="007205B2">
        <w:rPr>
          <w:rFonts w:cs="Open Sans"/>
          <w:b/>
          <w:sz w:val="36"/>
          <w:szCs w:val="36"/>
        </w:rPr>
        <w:t>5</w:t>
      </w:r>
      <w:r w:rsidRPr="004B64F4">
        <w:rPr>
          <w:rFonts w:cs="Open Sans"/>
          <w:b/>
          <w:sz w:val="36"/>
          <w:szCs w:val="36"/>
        </w:rPr>
        <w:t>/</w:t>
      </w:r>
      <w:r w:rsidR="00F4743D" w:rsidRPr="004B64F4">
        <w:rPr>
          <w:rFonts w:cs="Open Sans"/>
          <w:b/>
          <w:sz w:val="36"/>
          <w:szCs w:val="36"/>
        </w:rPr>
        <w:t>20</w:t>
      </w:r>
      <w:r w:rsidR="007205B2">
        <w:rPr>
          <w:rFonts w:cs="Open Sans"/>
          <w:b/>
          <w:sz w:val="36"/>
          <w:szCs w:val="36"/>
        </w:rPr>
        <w:t>20</w:t>
      </w:r>
    </w:p>
    <w:p w14:paraId="1DCE374D" w14:textId="77777777" w:rsidR="002A760A" w:rsidRPr="004B64F4" w:rsidRDefault="002A760A" w:rsidP="00CF2FDA">
      <w:pPr>
        <w:spacing w:after="0" w:line="276" w:lineRule="auto"/>
        <w:jc w:val="center"/>
        <w:rPr>
          <w:rFonts w:cs="Open Sans"/>
          <w:b/>
          <w:sz w:val="36"/>
          <w:szCs w:val="36"/>
        </w:rPr>
      </w:pPr>
    </w:p>
    <w:p w14:paraId="0B2C3754" w14:textId="0E6D8891" w:rsidR="00A63F03" w:rsidRPr="004B64F4" w:rsidRDefault="00C71305" w:rsidP="00BF3CC6">
      <w:pPr>
        <w:pStyle w:val="Nagwek3"/>
        <w:jc w:val="center"/>
        <w:rPr>
          <w:rFonts w:asciiTheme="minorHAnsi" w:hAnsiTheme="minorHAnsi" w:cs="Open Sans"/>
          <w:sz w:val="36"/>
          <w:szCs w:val="36"/>
        </w:rPr>
      </w:pPr>
      <w:bookmarkStart w:id="0" w:name="_Hlk497163367"/>
      <w:r w:rsidRPr="004B64F4">
        <w:rPr>
          <w:rFonts w:asciiTheme="minorHAnsi" w:hAnsiTheme="minorHAnsi" w:cs="Open Sans"/>
          <w:sz w:val="36"/>
          <w:szCs w:val="36"/>
        </w:rPr>
        <w:t>„</w:t>
      </w:r>
      <w:r w:rsidR="00D627A8" w:rsidRPr="004B64F4">
        <w:rPr>
          <w:rFonts w:asciiTheme="minorHAnsi" w:hAnsiTheme="minorHAnsi" w:cs="Open Sans"/>
          <w:sz w:val="36"/>
          <w:szCs w:val="36"/>
        </w:rPr>
        <w:t>Ubezpieczeni</w:t>
      </w:r>
      <w:r w:rsidR="00D5338B" w:rsidRPr="004B64F4">
        <w:rPr>
          <w:rFonts w:asciiTheme="minorHAnsi" w:hAnsiTheme="minorHAnsi" w:cs="Open Sans"/>
          <w:sz w:val="36"/>
          <w:szCs w:val="36"/>
        </w:rPr>
        <w:t>e</w:t>
      </w:r>
      <w:r w:rsidR="00D627A8" w:rsidRPr="004B64F4">
        <w:rPr>
          <w:rFonts w:asciiTheme="minorHAnsi" w:hAnsiTheme="minorHAnsi" w:cs="Open Sans"/>
          <w:sz w:val="36"/>
          <w:szCs w:val="36"/>
        </w:rPr>
        <w:t xml:space="preserve"> mienia, </w:t>
      </w:r>
      <w:r w:rsidR="00D5338B" w:rsidRPr="004B64F4">
        <w:rPr>
          <w:rFonts w:asciiTheme="minorHAnsi" w:hAnsiTheme="minorHAnsi" w:cs="Open Sans"/>
          <w:sz w:val="36"/>
          <w:szCs w:val="36"/>
        </w:rPr>
        <w:t xml:space="preserve">ubezpieczenie </w:t>
      </w:r>
      <w:r w:rsidR="00D627A8" w:rsidRPr="004B64F4">
        <w:rPr>
          <w:rFonts w:asciiTheme="minorHAnsi" w:hAnsiTheme="minorHAnsi" w:cs="Open Sans"/>
          <w:sz w:val="36"/>
          <w:szCs w:val="36"/>
        </w:rPr>
        <w:t>odpowiedzialności cywilnej z tytułu</w:t>
      </w:r>
      <w:r w:rsidR="00BF3CC6" w:rsidRPr="004B64F4">
        <w:rPr>
          <w:rFonts w:asciiTheme="minorHAnsi" w:hAnsiTheme="minorHAnsi" w:cs="Open Sans"/>
          <w:sz w:val="36"/>
          <w:szCs w:val="36"/>
        </w:rPr>
        <w:t xml:space="preserve"> </w:t>
      </w:r>
      <w:r w:rsidR="00D627A8" w:rsidRPr="004B64F4">
        <w:rPr>
          <w:rFonts w:asciiTheme="minorHAnsi" w:hAnsiTheme="minorHAnsi" w:cs="Open Sans"/>
          <w:sz w:val="36"/>
          <w:szCs w:val="36"/>
        </w:rPr>
        <w:t>prowadzonej działalności, ubezpiecze</w:t>
      </w:r>
      <w:r w:rsidR="00891AFE" w:rsidRPr="004B64F4">
        <w:rPr>
          <w:rFonts w:asciiTheme="minorHAnsi" w:hAnsiTheme="minorHAnsi" w:cs="Open Sans"/>
          <w:sz w:val="36"/>
          <w:szCs w:val="36"/>
        </w:rPr>
        <w:t>nia</w:t>
      </w:r>
      <w:r w:rsidR="00D627A8" w:rsidRPr="004B64F4">
        <w:rPr>
          <w:rFonts w:asciiTheme="minorHAnsi" w:hAnsiTheme="minorHAnsi" w:cs="Open Sans"/>
          <w:sz w:val="36"/>
          <w:szCs w:val="36"/>
        </w:rPr>
        <w:t xml:space="preserve"> komunikacyjn</w:t>
      </w:r>
      <w:r w:rsidR="00891AFE" w:rsidRPr="004B64F4">
        <w:rPr>
          <w:rFonts w:asciiTheme="minorHAnsi" w:hAnsiTheme="minorHAnsi" w:cs="Open Sans"/>
          <w:sz w:val="36"/>
          <w:szCs w:val="36"/>
        </w:rPr>
        <w:t>e</w:t>
      </w:r>
      <w:r w:rsidR="00D627A8" w:rsidRPr="004B64F4">
        <w:rPr>
          <w:rFonts w:asciiTheme="minorHAnsi" w:hAnsiTheme="minorHAnsi" w:cs="Open Sans"/>
          <w:sz w:val="36"/>
          <w:szCs w:val="36"/>
        </w:rPr>
        <w:t>, ubezpieczeni</w:t>
      </w:r>
      <w:r w:rsidR="00D5338B" w:rsidRPr="004B64F4">
        <w:rPr>
          <w:rFonts w:asciiTheme="minorHAnsi" w:hAnsiTheme="minorHAnsi" w:cs="Open Sans"/>
          <w:sz w:val="36"/>
          <w:szCs w:val="36"/>
        </w:rPr>
        <w:t>e</w:t>
      </w:r>
      <w:r w:rsidR="00BF3CC6" w:rsidRPr="004B64F4">
        <w:rPr>
          <w:rFonts w:asciiTheme="minorHAnsi" w:hAnsiTheme="minorHAnsi" w:cs="Open Sans"/>
          <w:sz w:val="36"/>
          <w:szCs w:val="36"/>
        </w:rPr>
        <w:t xml:space="preserve"> </w:t>
      </w:r>
      <w:r w:rsidR="00D627A8" w:rsidRPr="004B64F4">
        <w:rPr>
          <w:rFonts w:asciiTheme="minorHAnsi" w:hAnsiTheme="minorHAnsi" w:cs="Open Sans"/>
          <w:sz w:val="36"/>
          <w:szCs w:val="36"/>
        </w:rPr>
        <w:t>odpowiedzialności cywilnej członków władz spółki</w:t>
      </w:r>
      <w:r w:rsidRPr="004B64F4">
        <w:rPr>
          <w:rFonts w:asciiTheme="minorHAnsi" w:hAnsiTheme="minorHAnsi" w:cs="Open Sans"/>
          <w:sz w:val="36"/>
          <w:szCs w:val="36"/>
        </w:rPr>
        <w:t>”</w:t>
      </w:r>
    </w:p>
    <w:bookmarkEnd w:id="0"/>
    <w:p w14:paraId="3A534764" w14:textId="77777777" w:rsidR="000B5155" w:rsidRPr="007D22BC" w:rsidRDefault="000B5155" w:rsidP="00CF2FDA">
      <w:pPr>
        <w:spacing w:after="0" w:line="276" w:lineRule="auto"/>
        <w:jc w:val="center"/>
        <w:rPr>
          <w:rFonts w:cs="Open Sans"/>
          <w:b/>
        </w:rPr>
      </w:pPr>
    </w:p>
    <w:p w14:paraId="53747ACE" w14:textId="77777777" w:rsidR="00FF7C24" w:rsidRPr="00007314" w:rsidRDefault="00FF7C24" w:rsidP="007205B2">
      <w:pPr>
        <w:spacing w:after="0" w:line="276" w:lineRule="auto"/>
        <w:rPr>
          <w:rFonts w:cs="Open Sans"/>
        </w:rPr>
      </w:pPr>
    </w:p>
    <w:p w14:paraId="36980B0D" w14:textId="77777777" w:rsidR="000B5155" w:rsidRPr="00007314" w:rsidRDefault="000B5155" w:rsidP="00CF2FDA">
      <w:pPr>
        <w:spacing w:after="0" w:line="276" w:lineRule="auto"/>
        <w:jc w:val="center"/>
        <w:rPr>
          <w:rFonts w:cs="Open Sans"/>
        </w:rPr>
      </w:pPr>
    </w:p>
    <w:p w14:paraId="01ECBFE1" w14:textId="77777777" w:rsidR="00FF7C24" w:rsidRPr="00007314" w:rsidRDefault="00FF7C24" w:rsidP="00CF2FDA">
      <w:pPr>
        <w:spacing w:after="0" w:line="276" w:lineRule="auto"/>
        <w:jc w:val="center"/>
        <w:rPr>
          <w:rFonts w:cs="Open Sans"/>
        </w:rPr>
      </w:pPr>
      <w:r w:rsidRPr="00007314">
        <w:rPr>
          <w:rFonts w:cs="Open Sans"/>
        </w:rPr>
        <w:t>ZAMAWIAJĄCY</w:t>
      </w:r>
    </w:p>
    <w:p w14:paraId="7289B928" w14:textId="77777777" w:rsidR="00FF7C24" w:rsidRPr="00007314" w:rsidRDefault="00FF7C24" w:rsidP="00CF2FDA">
      <w:pPr>
        <w:spacing w:after="0" w:line="276" w:lineRule="auto"/>
        <w:jc w:val="center"/>
        <w:rPr>
          <w:rFonts w:cs="Open Sans"/>
        </w:rPr>
      </w:pPr>
      <w:r w:rsidRPr="00007314">
        <w:rPr>
          <w:rFonts w:cs="Open Sans"/>
        </w:rPr>
        <w:t>Gdańskie Usługi Komunalne sp. z o.o.</w:t>
      </w:r>
    </w:p>
    <w:p w14:paraId="289129FF" w14:textId="77777777" w:rsidR="00FF7C24" w:rsidRPr="00007314" w:rsidRDefault="00FF7C24" w:rsidP="00CF2FDA">
      <w:pPr>
        <w:spacing w:after="0" w:line="276" w:lineRule="auto"/>
        <w:jc w:val="center"/>
        <w:rPr>
          <w:rFonts w:cs="Open Sans"/>
        </w:rPr>
      </w:pPr>
      <w:r w:rsidRPr="00007314">
        <w:rPr>
          <w:rFonts w:cs="Open Sans"/>
        </w:rPr>
        <w:t xml:space="preserve">Ul. </w:t>
      </w:r>
      <w:r w:rsidR="008F2B13" w:rsidRPr="00007314">
        <w:rPr>
          <w:rFonts w:cs="Open Sans"/>
        </w:rPr>
        <w:t>Jabłoniowa 55</w:t>
      </w:r>
    </w:p>
    <w:p w14:paraId="2B899997" w14:textId="5FEF5346" w:rsidR="004B64F4" w:rsidRDefault="008F2B13" w:rsidP="007205B2">
      <w:pPr>
        <w:spacing w:after="0" w:line="276" w:lineRule="auto"/>
        <w:jc w:val="center"/>
        <w:rPr>
          <w:rFonts w:cs="Open Sans"/>
        </w:rPr>
      </w:pPr>
      <w:r w:rsidRPr="00007314">
        <w:rPr>
          <w:rFonts w:cs="Open Sans"/>
        </w:rPr>
        <w:t>80-180</w:t>
      </w:r>
      <w:r w:rsidR="00FF7C24" w:rsidRPr="00007314">
        <w:rPr>
          <w:rFonts w:cs="Open Sans"/>
        </w:rPr>
        <w:t xml:space="preserve"> Gdańsk</w:t>
      </w:r>
    </w:p>
    <w:p w14:paraId="20060C6F" w14:textId="77777777" w:rsidR="004B64F4" w:rsidRPr="00007314" w:rsidRDefault="004B64F4" w:rsidP="004B64F4">
      <w:pPr>
        <w:spacing w:after="0" w:line="276" w:lineRule="auto"/>
        <w:rPr>
          <w:rFonts w:cs="Open Sans"/>
        </w:rPr>
      </w:pPr>
    </w:p>
    <w:p w14:paraId="2283367F" w14:textId="77777777" w:rsidR="000B5155" w:rsidRPr="00007314" w:rsidRDefault="000B5155" w:rsidP="00CF2FDA">
      <w:pPr>
        <w:spacing w:after="0" w:line="276" w:lineRule="auto"/>
        <w:jc w:val="center"/>
        <w:rPr>
          <w:rFonts w:cs="Open Sans"/>
        </w:rPr>
      </w:pPr>
    </w:p>
    <w:p w14:paraId="1ECE7DCE" w14:textId="05287C7B" w:rsidR="00FF7C24" w:rsidRPr="00007314" w:rsidRDefault="00674B32" w:rsidP="00CF2FDA">
      <w:pPr>
        <w:spacing w:after="0" w:line="276" w:lineRule="auto"/>
        <w:jc w:val="both"/>
        <w:rPr>
          <w:rFonts w:cs="Open Sans"/>
        </w:rPr>
      </w:pPr>
      <w:r w:rsidRPr="001E512C">
        <w:rPr>
          <w:rFonts w:cs="Open Sans"/>
        </w:rPr>
        <w:t>Gdańsk, dnia</w:t>
      </w:r>
      <w:r w:rsidR="00972382" w:rsidRPr="001E512C">
        <w:rPr>
          <w:rFonts w:cs="Open Sans"/>
        </w:rPr>
        <w:t xml:space="preserve"> </w:t>
      </w:r>
      <w:r w:rsidR="00094843" w:rsidRPr="001E512C">
        <w:rPr>
          <w:rFonts w:cs="Open Sans"/>
        </w:rPr>
        <w:t xml:space="preserve"> </w:t>
      </w:r>
      <w:r w:rsidR="000D026D">
        <w:rPr>
          <w:rFonts w:cs="Open Sans"/>
        </w:rPr>
        <w:t>29.</w:t>
      </w:r>
      <w:r w:rsidR="007205B2">
        <w:rPr>
          <w:rFonts w:cs="Open Sans"/>
        </w:rPr>
        <w:t>12</w:t>
      </w:r>
      <w:r w:rsidR="00972382" w:rsidRPr="001E512C">
        <w:rPr>
          <w:rFonts w:cs="Open Sans"/>
        </w:rPr>
        <w:t>.2</w:t>
      </w:r>
      <w:r w:rsidR="00F4743D" w:rsidRPr="001E512C">
        <w:rPr>
          <w:rFonts w:cs="Open Sans"/>
        </w:rPr>
        <w:t>0</w:t>
      </w:r>
      <w:r w:rsidR="007205B2">
        <w:rPr>
          <w:rFonts w:cs="Open Sans"/>
        </w:rPr>
        <w:t>20</w:t>
      </w:r>
      <w:r w:rsidR="00FF7C24" w:rsidRPr="001E512C">
        <w:rPr>
          <w:rFonts w:cs="Open Sans"/>
        </w:rPr>
        <w:t>r.</w:t>
      </w:r>
    </w:p>
    <w:p w14:paraId="3DA5E85D" w14:textId="77777777" w:rsidR="001E512C" w:rsidRPr="00007314" w:rsidRDefault="001E512C" w:rsidP="00CF2FDA">
      <w:pPr>
        <w:spacing w:after="0" w:line="276" w:lineRule="auto"/>
        <w:jc w:val="both"/>
        <w:rPr>
          <w:rFonts w:cs="Open Sans"/>
        </w:rPr>
      </w:pPr>
    </w:p>
    <w:p w14:paraId="59FE9B55" w14:textId="74314312" w:rsidR="00FF7C24" w:rsidRDefault="00FF7C24" w:rsidP="00CF2FDA">
      <w:pPr>
        <w:spacing w:after="0" w:line="276" w:lineRule="auto"/>
        <w:jc w:val="both"/>
        <w:rPr>
          <w:rFonts w:cs="Open Sans"/>
          <w:b/>
        </w:rPr>
      </w:pPr>
      <w:r w:rsidRPr="00007314">
        <w:rPr>
          <w:rFonts w:cs="Open Sans"/>
          <w:b/>
        </w:rPr>
        <w:t>Zatwierdził:</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4194"/>
      </w:tblGrid>
      <w:tr w:rsidR="007205B2" w14:paraId="6C3306B6" w14:textId="77777777" w:rsidTr="007205B2">
        <w:tc>
          <w:tcPr>
            <w:tcW w:w="4193" w:type="dxa"/>
          </w:tcPr>
          <w:p w14:paraId="15079A1E" w14:textId="77777777" w:rsidR="007205B2" w:rsidRDefault="007205B2" w:rsidP="00CF2FDA">
            <w:pPr>
              <w:spacing w:line="276" w:lineRule="auto"/>
              <w:jc w:val="both"/>
              <w:rPr>
                <w:rFonts w:cs="Open Sans"/>
              </w:rPr>
            </w:pPr>
          </w:p>
          <w:p w14:paraId="0208F8B7" w14:textId="77777777" w:rsidR="000D026D" w:rsidRDefault="000D026D" w:rsidP="00CF2FDA">
            <w:pPr>
              <w:spacing w:line="276" w:lineRule="auto"/>
              <w:jc w:val="both"/>
              <w:rPr>
                <w:rFonts w:cs="Open Sans"/>
              </w:rPr>
            </w:pPr>
          </w:p>
          <w:p w14:paraId="2FE5C822" w14:textId="77777777" w:rsidR="000D026D" w:rsidRDefault="000D026D" w:rsidP="00CF2FDA">
            <w:pPr>
              <w:spacing w:line="276" w:lineRule="auto"/>
              <w:jc w:val="both"/>
              <w:rPr>
                <w:rFonts w:cs="Open Sans"/>
              </w:rPr>
            </w:pPr>
          </w:p>
          <w:p w14:paraId="08A49960" w14:textId="2D3A47EB" w:rsidR="000D026D" w:rsidRPr="007205B2" w:rsidRDefault="000D026D" w:rsidP="00CF2FDA">
            <w:pPr>
              <w:spacing w:line="276" w:lineRule="auto"/>
              <w:jc w:val="both"/>
              <w:rPr>
                <w:rFonts w:cs="Open Sans"/>
              </w:rPr>
            </w:pPr>
          </w:p>
        </w:tc>
        <w:tc>
          <w:tcPr>
            <w:tcW w:w="4194" w:type="dxa"/>
          </w:tcPr>
          <w:p w14:paraId="2D9C9CAB" w14:textId="7DB38527" w:rsidR="007205B2" w:rsidRDefault="007205B2" w:rsidP="00CF2FDA">
            <w:pPr>
              <w:spacing w:line="276" w:lineRule="auto"/>
              <w:jc w:val="both"/>
              <w:rPr>
                <w:rFonts w:cs="Open Sans"/>
                <w:b/>
              </w:rPr>
            </w:pPr>
          </w:p>
        </w:tc>
      </w:tr>
    </w:tbl>
    <w:p w14:paraId="20E6F849" w14:textId="77777777" w:rsidR="007205B2" w:rsidRPr="00007314" w:rsidRDefault="007205B2" w:rsidP="00CF2FDA">
      <w:pPr>
        <w:spacing w:after="0" w:line="276" w:lineRule="auto"/>
        <w:jc w:val="both"/>
        <w:rPr>
          <w:rFonts w:cs="Open Sans"/>
          <w:b/>
        </w:rPr>
      </w:pPr>
    </w:p>
    <w:p w14:paraId="1B9A2D57" w14:textId="7B5A84A2" w:rsidR="004B64F4" w:rsidRDefault="004B64F4" w:rsidP="00CC3E69">
      <w:pPr>
        <w:widowControl w:val="0"/>
        <w:spacing w:after="0" w:line="276" w:lineRule="auto"/>
        <w:jc w:val="both"/>
        <w:rPr>
          <w:rFonts w:cs="Open Sans"/>
        </w:rPr>
      </w:pPr>
    </w:p>
    <w:p w14:paraId="5A9F43BF" w14:textId="77777777" w:rsidR="007205B2" w:rsidRDefault="007205B2" w:rsidP="00CC3E69">
      <w:pPr>
        <w:widowControl w:val="0"/>
        <w:spacing w:after="0" w:line="276" w:lineRule="auto"/>
        <w:jc w:val="both"/>
        <w:rPr>
          <w:rFonts w:cs="Open Sans"/>
        </w:rPr>
      </w:pPr>
    </w:p>
    <w:p w14:paraId="6796144E" w14:textId="3B07216D" w:rsidR="00CC3E69" w:rsidRPr="00007314" w:rsidRDefault="00CC3E69" w:rsidP="00CC3E69">
      <w:pPr>
        <w:widowControl w:val="0"/>
        <w:spacing w:after="0" w:line="276" w:lineRule="auto"/>
        <w:jc w:val="both"/>
        <w:rPr>
          <w:rFonts w:cs="Open Sans"/>
        </w:rPr>
      </w:pPr>
      <w:r w:rsidRPr="00007314">
        <w:rPr>
          <w:rFonts w:cs="Open Sans"/>
        </w:rPr>
        <w:t xml:space="preserve">Użyte w Specyfikacji Istotnych Warunków Zamówienia terminy mają następujące znaczenie: </w:t>
      </w:r>
    </w:p>
    <w:p w14:paraId="0395E0C3" w14:textId="77777777" w:rsidR="00972382" w:rsidRPr="00007314" w:rsidRDefault="00972382" w:rsidP="00CC3E69">
      <w:pPr>
        <w:widowControl w:val="0"/>
        <w:spacing w:after="0" w:line="276" w:lineRule="auto"/>
        <w:jc w:val="both"/>
        <w:rPr>
          <w:rFonts w:cs="Open Sans"/>
        </w:rPr>
      </w:pPr>
    </w:p>
    <w:p w14:paraId="27DC45F3" w14:textId="77777777" w:rsidR="00CC3E69" w:rsidRPr="00007314" w:rsidRDefault="00CC3E69" w:rsidP="002D21E8">
      <w:pPr>
        <w:widowControl w:val="0"/>
        <w:numPr>
          <w:ilvl w:val="0"/>
          <w:numId w:val="18"/>
        </w:numPr>
        <w:tabs>
          <w:tab w:val="num" w:pos="851"/>
        </w:tabs>
        <w:spacing w:after="0" w:line="276" w:lineRule="auto"/>
        <w:ind w:left="851" w:hanging="425"/>
        <w:jc w:val="both"/>
        <w:rPr>
          <w:rFonts w:cs="Open Sans"/>
        </w:rPr>
      </w:pPr>
      <w:r w:rsidRPr="00007314">
        <w:rPr>
          <w:rFonts w:cs="Open Sans"/>
          <w:b/>
        </w:rPr>
        <w:t>"Postępowanie"</w:t>
      </w:r>
      <w:r w:rsidRPr="00007314">
        <w:rPr>
          <w:rFonts w:cs="Open Sans"/>
        </w:rPr>
        <w:t xml:space="preserve"> - postępowanie o udzielenie Zamówienia prowadzone przez Zamawiającego na podstawie niniejszej SIWZ;</w:t>
      </w:r>
    </w:p>
    <w:p w14:paraId="48743C17" w14:textId="77777777" w:rsidR="00CC3E69" w:rsidRPr="00007314" w:rsidRDefault="00CC3E69" w:rsidP="002D21E8">
      <w:pPr>
        <w:widowControl w:val="0"/>
        <w:numPr>
          <w:ilvl w:val="0"/>
          <w:numId w:val="18"/>
        </w:numPr>
        <w:tabs>
          <w:tab w:val="num" w:pos="851"/>
        </w:tabs>
        <w:spacing w:after="0" w:line="276" w:lineRule="auto"/>
        <w:ind w:left="851" w:hanging="425"/>
        <w:jc w:val="both"/>
        <w:rPr>
          <w:rFonts w:cs="Open Sans"/>
        </w:rPr>
      </w:pPr>
      <w:r w:rsidRPr="00007314">
        <w:rPr>
          <w:rFonts w:cs="Open Sans"/>
          <w:b/>
        </w:rPr>
        <w:t>“SIWZ” lub “Specyfikacja”</w:t>
      </w:r>
      <w:r w:rsidRPr="00007314">
        <w:rPr>
          <w:rFonts w:cs="Open Sans"/>
        </w:rPr>
        <w:t xml:space="preserve"> – pojęcia tożsame, oznaczające niniejszą Specyfikację Istotnych Warunków Zamówienia;</w:t>
      </w:r>
    </w:p>
    <w:p w14:paraId="2E321CC4" w14:textId="77777777" w:rsidR="00CC3E69" w:rsidRPr="00007314" w:rsidRDefault="00CC3E69" w:rsidP="002D21E8">
      <w:pPr>
        <w:widowControl w:val="0"/>
        <w:numPr>
          <w:ilvl w:val="0"/>
          <w:numId w:val="18"/>
        </w:numPr>
        <w:tabs>
          <w:tab w:val="num" w:pos="851"/>
        </w:tabs>
        <w:spacing w:after="0" w:line="276" w:lineRule="auto"/>
        <w:ind w:left="851" w:hanging="425"/>
        <w:jc w:val="both"/>
        <w:rPr>
          <w:rFonts w:cs="Open Sans"/>
        </w:rPr>
      </w:pPr>
      <w:r w:rsidRPr="00007314">
        <w:rPr>
          <w:rFonts w:cs="Open Sans"/>
          <w:b/>
        </w:rPr>
        <w:t xml:space="preserve">“Umowa” lub “Kontrakt” </w:t>
      </w:r>
      <w:r w:rsidRPr="00007314">
        <w:rPr>
          <w:rFonts w:cs="Open Sans"/>
        </w:rPr>
        <w:t>– pojęcia tożsame, oznaczające Umowę zawartą pomiędzy Zamawiającym a Wykonawcą wyłonionym w niniejszym Postępowaniu;</w:t>
      </w:r>
    </w:p>
    <w:p w14:paraId="53865FF2" w14:textId="3294B3C6" w:rsidR="00CC3E69" w:rsidRPr="00007314" w:rsidRDefault="00697B8D" w:rsidP="002D21E8">
      <w:pPr>
        <w:widowControl w:val="0"/>
        <w:numPr>
          <w:ilvl w:val="0"/>
          <w:numId w:val="18"/>
        </w:numPr>
        <w:tabs>
          <w:tab w:val="num" w:pos="851"/>
        </w:tabs>
        <w:spacing w:after="0" w:line="276" w:lineRule="auto"/>
        <w:ind w:left="851" w:hanging="425"/>
        <w:jc w:val="both"/>
        <w:rPr>
          <w:rFonts w:cs="Open Sans"/>
        </w:rPr>
      </w:pPr>
      <w:r w:rsidRPr="00007314">
        <w:rPr>
          <w:rFonts w:cs="Open Sans"/>
          <w:b/>
        </w:rPr>
        <w:t xml:space="preserve"> „</w:t>
      </w:r>
      <w:r w:rsidR="00B725F0" w:rsidRPr="00007314">
        <w:rPr>
          <w:rFonts w:cs="Open Sans"/>
          <w:b/>
        </w:rPr>
        <w:t>U</w:t>
      </w:r>
      <w:r w:rsidRPr="00007314">
        <w:rPr>
          <w:rFonts w:cs="Open Sans"/>
          <w:b/>
        </w:rPr>
        <w:t xml:space="preserve">stawa </w:t>
      </w:r>
      <w:proofErr w:type="spellStart"/>
      <w:r w:rsidRPr="00007314">
        <w:rPr>
          <w:rFonts w:cs="Open Sans"/>
          <w:b/>
        </w:rPr>
        <w:t>pzp</w:t>
      </w:r>
      <w:proofErr w:type="spellEnd"/>
      <w:r w:rsidR="00AA3B3B" w:rsidRPr="00007314">
        <w:rPr>
          <w:rFonts w:cs="Open Sans"/>
          <w:b/>
        </w:rPr>
        <w:t>”</w:t>
      </w:r>
      <w:r w:rsidR="00CC3E69" w:rsidRPr="00007314">
        <w:rPr>
          <w:rFonts w:cs="Open Sans"/>
        </w:rPr>
        <w:t xml:space="preserve"> - ustawa z dnia 29 stycznia 2004 roku - Prawo zamówie</w:t>
      </w:r>
      <w:r w:rsidR="00906453" w:rsidRPr="00007314">
        <w:rPr>
          <w:rFonts w:cs="Open Sans"/>
        </w:rPr>
        <w:t>ń publicznych (</w:t>
      </w:r>
      <w:bookmarkStart w:id="1" w:name="_Hlk535492966"/>
      <w:proofErr w:type="spellStart"/>
      <w:r w:rsidR="00906453" w:rsidRPr="00007314">
        <w:rPr>
          <w:rFonts w:cs="Open Sans"/>
        </w:rPr>
        <w:t>t.j</w:t>
      </w:r>
      <w:proofErr w:type="spellEnd"/>
      <w:r w:rsidR="00906453" w:rsidRPr="00007314">
        <w:rPr>
          <w:rFonts w:cs="Open Sans"/>
        </w:rPr>
        <w:t>. Dz.U. z 201</w:t>
      </w:r>
      <w:r w:rsidR="00C31C41">
        <w:rPr>
          <w:rFonts w:cs="Open Sans"/>
        </w:rPr>
        <w:t>9</w:t>
      </w:r>
      <w:r w:rsidR="00CC3E69" w:rsidRPr="00007314">
        <w:rPr>
          <w:rFonts w:cs="Open Sans"/>
        </w:rPr>
        <w:t xml:space="preserve"> r. poz. </w:t>
      </w:r>
      <w:r w:rsidR="00C31C41">
        <w:rPr>
          <w:rFonts w:cs="Open Sans"/>
        </w:rPr>
        <w:t>1843</w:t>
      </w:r>
      <w:r w:rsidR="00CC3E69" w:rsidRPr="00007314">
        <w:rPr>
          <w:rFonts w:cs="Open Sans"/>
        </w:rPr>
        <w:t xml:space="preserve">z </w:t>
      </w:r>
      <w:proofErr w:type="spellStart"/>
      <w:r w:rsidR="00CC3E69" w:rsidRPr="00007314">
        <w:rPr>
          <w:rFonts w:cs="Open Sans"/>
        </w:rPr>
        <w:t>późn</w:t>
      </w:r>
      <w:proofErr w:type="spellEnd"/>
      <w:r w:rsidR="00CC3E69" w:rsidRPr="00007314">
        <w:rPr>
          <w:rFonts w:cs="Open Sans"/>
        </w:rPr>
        <w:t>. zm</w:t>
      </w:r>
      <w:bookmarkEnd w:id="1"/>
      <w:r w:rsidR="00CC3E69" w:rsidRPr="00007314">
        <w:rPr>
          <w:rFonts w:cs="Open Sans"/>
        </w:rPr>
        <w:t>.);</w:t>
      </w:r>
    </w:p>
    <w:p w14:paraId="651BB176" w14:textId="77777777" w:rsidR="00CC3E69" w:rsidRPr="00007314" w:rsidRDefault="00CC3E69" w:rsidP="002D21E8">
      <w:pPr>
        <w:widowControl w:val="0"/>
        <w:numPr>
          <w:ilvl w:val="0"/>
          <w:numId w:val="18"/>
        </w:numPr>
        <w:tabs>
          <w:tab w:val="num" w:pos="851"/>
        </w:tabs>
        <w:spacing w:after="0" w:line="276" w:lineRule="auto"/>
        <w:ind w:left="851" w:hanging="425"/>
        <w:jc w:val="both"/>
        <w:rPr>
          <w:rFonts w:cs="Open Sans"/>
          <w:b/>
        </w:rPr>
      </w:pPr>
      <w:r w:rsidRPr="00007314">
        <w:rPr>
          <w:rFonts w:cs="Open Sans"/>
          <w:b/>
        </w:rPr>
        <w:t>"Wykonawca"</w:t>
      </w:r>
      <w:r w:rsidRPr="00007314">
        <w:rPr>
          <w:rFonts w:cs="Open Sans"/>
        </w:rPr>
        <w:t xml:space="preserve"> - osoba fizyczna, osoba prawna albo jednostka organizacyjna nieposiadająca osobowości prawnej, która ubiega się o zawarcie Umowy, złożyła ofertę lub zawarła Umowę;</w:t>
      </w:r>
    </w:p>
    <w:p w14:paraId="7273E0F1" w14:textId="77777777" w:rsidR="00CC3E69" w:rsidRPr="00007314" w:rsidRDefault="00CC3E69" w:rsidP="002D21E8">
      <w:pPr>
        <w:widowControl w:val="0"/>
        <w:numPr>
          <w:ilvl w:val="0"/>
          <w:numId w:val="18"/>
        </w:numPr>
        <w:tabs>
          <w:tab w:val="num" w:pos="851"/>
        </w:tabs>
        <w:spacing w:after="0" w:line="276" w:lineRule="auto"/>
        <w:ind w:left="851" w:hanging="425"/>
        <w:jc w:val="both"/>
        <w:rPr>
          <w:rFonts w:cs="Open Sans"/>
        </w:rPr>
      </w:pPr>
      <w:r w:rsidRPr="00007314">
        <w:rPr>
          <w:rFonts w:cs="Open Sans"/>
          <w:b/>
        </w:rPr>
        <w:t>"Zamawiający"</w:t>
      </w:r>
      <w:r w:rsidRPr="00007314">
        <w:rPr>
          <w:rFonts w:cs="Open Sans"/>
        </w:rPr>
        <w:t xml:space="preserve"> – Gdańskie Usługi Komunalne spółka z ograniczoną odpowiedzialnością z siedzibą </w:t>
      </w:r>
      <w:r w:rsidR="00EA5BC8" w:rsidRPr="00007314">
        <w:rPr>
          <w:rFonts w:cs="Open Sans"/>
        </w:rPr>
        <w:t>w Gdańsku</w:t>
      </w:r>
    </w:p>
    <w:p w14:paraId="62897F06" w14:textId="77777777" w:rsidR="00CC3E69" w:rsidRPr="00007314" w:rsidRDefault="00CC3E69" w:rsidP="002D21E8">
      <w:pPr>
        <w:widowControl w:val="0"/>
        <w:numPr>
          <w:ilvl w:val="0"/>
          <w:numId w:val="18"/>
        </w:numPr>
        <w:tabs>
          <w:tab w:val="num" w:pos="851"/>
        </w:tabs>
        <w:spacing w:after="0" w:line="276" w:lineRule="auto"/>
        <w:ind w:left="851" w:hanging="425"/>
        <w:jc w:val="both"/>
        <w:rPr>
          <w:rFonts w:cs="Open Sans"/>
        </w:rPr>
      </w:pPr>
      <w:r w:rsidRPr="00007314">
        <w:rPr>
          <w:rFonts w:cs="Open Sans"/>
          <w:b/>
        </w:rPr>
        <w:t>"Zamówienie"</w:t>
      </w:r>
      <w:r w:rsidRPr="00007314">
        <w:rPr>
          <w:rFonts w:cs="Open Sans"/>
        </w:rPr>
        <w:t xml:space="preserve"> - Zamówienie publiczne udzielone w ramach Umowy zawartej w wyniku niniejszego postępowania.</w:t>
      </w:r>
    </w:p>
    <w:p w14:paraId="4FDB0496" w14:textId="77777777" w:rsidR="007E602B" w:rsidRPr="00007314" w:rsidRDefault="007E602B" w:rsidP="007E602B">
      <w:pPr>
        <w:widowControl w:val="0"/>
        <w:tabs>
          <w:tab w:val="num" w:pos="851"/>
        </w:tabs>
        <w:spacing w:after="0" w:line="276" w:lineRule="auto"/>
        <w:ind w:left="851"/>
        <w:jc w:val="both"/>
        <w:rPr>
          <w:rFonts w:cs="Open Sans"/>
        </w:rPr>
      </w:pPr>
    </w:p>
    <w:p w14:paraId="578D1780" w14:textId="77777777" w:rsidR="004B64F4" w:rsidRDefault="004B64F4" w:rsidP="007E602B">
      <w:pPr>
        <w:widowControl w:val="0"/>
        <w:tabs>
          <w:tab w:val="num" w:pos="851"/>
        </w:tabs>
        <w:spacing w:after="0" w:line="276" w:lineRule="auto"/>
        <w:jc w:val="center"/>
        <w:rPr>
          <w:rFonts w:cs="Open Sans"/>
          <w:b/>
        </w:rPr>
      </w:pPr>
    </w:p>
    <w:p w14:paraId="469DBE90" w14:textId="77777777" w:rsidR="004B64F4" w:rsidRDefault="004B64F4" w:rsidP="007E602B">
      <w:pPr>
        <w:widowControl w:val="0"/>
        <w:tabs>
          <w:tab w:val="num" w:pos="851"/>
        </w:tabs>
        <w:spacing w:after="0" w:line="276" w:lineRule="auto"/>
        <w:jc w:val="center"/>
        <w:rPr>
          <w:rFonts w:cs="Open Sans"/>
          <w:b/>
        </w:rPr>
      </w:pPr>
    </w:p>
    <w:p w14:paraId="204BCE8D" w14:textId="5ACB5C38" w:rsidR="007E602B" w:rsidRPr="00007314" w:rsidRDefault="007E602B" w:rsidP="007E602B">
      <w:pPr>
        <w:widowControl w:val="0"/>
        <w:tabs>
          <w:tab w:val="num" w:pos="851"/>
        </w:tabs>
        <w:spacing w:after="0" w:line="276" w:lineRule="auto"/>
        <w:jc w:val="center"/>
        <w:rPr>
          <w:rFonts w:cs="Open Sans"/>
          <w:b/>
        </w:rPr>
      </w:pPr>
      <w:r w:rsidRPr="00007314">
        <w:rPr>
          <w:rFonts w:cs="Open Sans"/>
          <w:b/>
        </w:rPr>
        <w:t>KLAUZULA INFORMACYJNA</w:t>
      </w:r>
    </w:p>
    <w:p w14:paraId="173FCBD2" w14:textId="77777777" w:rsidR="007E602B" w:rsidRPr="00007314" w:rsidRDefault="007E602B" w:rsidP="007E602B">
      <w:pPr>
        <w:widowControl w:val="0"/>
        <w:tabs>
          <w:tab w:val="num" w:pos="851"/>
        </w:tabs>
        <w:spacing w:after="0" w:line="276" w:lineRule="auto"/>
        <w:jc w:val="center"/>
        <w:rPr>
          <w:rFonts w:cs="Open Sans"/>
          <w:b/>
        </w:rPr>
      </w:pPr>
    </w:p>
    <w:p w14:paraId="057AED8B" w14:textId="77777777" w:rsidR="007E602B" w:rsidRPr="00007314" w:rsidRDefault="007E602B" w:rsidP="007E602B">
      <w:pPr>
        <w:widowControl w:val="0"/>
        <w:tabs>
          <w:tab w:val="num" w:pos="851"/>
        </w:tabs>
        <w:spacing w:after="0" w:line="276" w:lineRule="auto"/>
        <w:jc w:val="both"/>
        <w:rPr>
          <w:rFonts w:cs="Open Sans"/>
        </w:rPr>
      </w:pPr>
      <w:r w:rsidRPr="00007314">
        <w:rPr>
          <w:rFonts w:cs="Open San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F78E17" w14:textId="77777777" w:rsidR="007E602B" w:rsidRPr="00007314" w:rsidRDefault="007E602B" w:rsidP="002D21E8">
      <w:pPr>
        <w:widowControl w:val="0"/>
        <w:numPr>
          <w:ilvl w:val="0"/>
          <w:numId w:val="21"/>
        </w:numPr>
        <w:tabs>
          <w:tab w:val="num" w:pos="851"/>
        </w:tabs>
        <w:spacing w:after="0" w:line="276" w:lineRule="auto"/>
        <w:jc w:val="both"/>
        <w:rPr>
          <w:rFonts w:cs="Open Sans"/>
        </w:rPr>
      </w:pPr>
      <w:r w:rsidRPr="00007314">
        <w:rPr>
          <w:rFonts w:cs="Open Sans"/>
        </w:rPr>
        <w:t>administratorem Pani/Pana danych osobowych jest Spółka Gdańskie Usługi Komunalne Sp. z o.o., ul. Jabłoniowa 55, 80-180 Gdańsk;</w:t>
      </w:r>
    </w:p>
    <w:p w14:paraId="4F12E2B8" w14:textId="77777777" w:rsidR="007E602B" w:rsidRPr="00007314" w:rsidRDefault="007E602B" w:rsidP="002D21E8">
      <w:pPr>
        <w:widowControl w:val="0"/>
        <w:numPr>
          <w:ilvl w:val="0"/>
          <w:numId w:val="22"/>
        </w:numPr>
        <w:tabs>
          <w:tab w:val="num" w:pos="851"/>
        </w:tabs>
        <w:spacing w:after="0" w:line="276" w:lineRule="auto"/>
        <w:jc w:val="both"/>
        <w:rPr>
          <w:rFonts w:cs="Open Sans"/>
          <w:u w:val="single"/>
        </w:rPr>
      </w:pPr>
      <w:r w:rsidRPr="00007314">
        <w:rPr>
          <w:rFonts w:cs="Open Sans"/>
        </w:rPr>
        <w:t>inspektorem ochrony danych osobowych jest Pan Krzysztof Pawłowski</w:t>
      </w:r>
      <w:r w:rsidR="00C27231" w:rsidRPr="00007314">
        <w:rPr>
          <w:rFonts w:cs="Open Sans"/>
        </w:rPr>
        <w:t xml:space="preserve"> e-mail: </w:t>
      </w:r>
      <w:r w:rsidR="00255FA9" w:rsidRPr="00007314">
        <w:rPr>
          <w:rFonts w:cs="Open Sans"/>
        </w:rPr>
        <w:t xml:space="preserve"> </w:t>
      </w:r>
      <w:hyperlink r:id="rId9" w:history="1">
        <w:r w:rsidR="00C27231" w:rsidRPr="00007314">
          <w:rPr>
            <w:rStyle w:val="Hipercze"/>
            <w:rFonts w:cs="Open Sans"/>
            <w:color w:val="000000" w:themeColor="text1"/>
          </w:rPr>
          <w:t>iod@guk.gda.pl</w:t>
        </w:r>
      </w:hyperlink>
      <w:r w:rsidR="00C27231" w:rsidRPr="00007314">
        <w:rPr>
          <w:rFonts w:cs="Open Sans"/>
          <w:color w:val="000000" w:themeColor="text1"/>
        </w:rPr>
        <w:t xml:space="preserve"> </w:t>
      </w:r>
      <w:r w:rsidR="00255FA9" w:rsidRPr="00007314">
        <w:rPr>
          <w:rFonts w:cs="Open Sans"/>
          <w:color w:val="000000" w:themeColor="text1"/>
        </w:rPr>
        <w:t xml:space="preserve"> </w:t>
      </w:r>
    </w:p>
    <w:p w14:paraId="229088EF" w14:textId="640107BE" w:rsidR="007E602B" w:rsidRPr="00007314" w:rsidRDefault="007E602B" w:rsidP="002D21E8">
      <w:pPr>
        <w:widowControl w:val="0"/>
        <w:numPr>
          <w:ilvl w:val="0"/>
          <w:numId w:val="22"/>
        </w:numPr>
        <w:tabs>
          <w:tab w:val="num" w:pos="851"/>
        </w:tabs>
        <w:spacing w:after="0" w:line="276" w:lineRule="auto"/>
        <w:jc w:val="both"/>
        <w:rPr>
          <w:rFonts w:cs="Open Sans"/>
          <w:u w:val="single"/>
        </w:rPr>
      </w:pPr>
      <w:r w:rsidRPr="00007314">
        <w:rPr>
          <w:rFonts w:cs="Open Sans"/>
        </w:rPr>
        <w:t>Pani/Pana dane osobowe przetwarzane będą na podstawie art. 6 ust. 1 lit. c</w:t>
      </w:r>
      <w:r w:rsidRPr="00007314">
        <w:rPr>
          <w:rFonts w:cs="Open Sans"/>
          <w:i/>
        </w:rPr>
        <w:t xml:space="preserve"> </w:t>
      </w:r>
      <w:r w:rsidRPr="00007314">
        <w:rPr>
          <w:rFonts w:cs="Open Sans"/>
        </w:rPr>
        <w:t>RODO w celu związanym z postępowaniem o udzielenie zamówienia publicznego PN/</w:t>
      </w:r>
      <w:r w:rsidR="007205B2">
        <w:rPr>
          <w:rFonts w:cs="Open Sans"/>
        </w:rPr>
        <w:t>5</w:t>
      </w:r>
      <w:r w:rsidRPr="00007314">
        <w:rPr>
          <w:rFonts w:cs="Open Sans"/>
        </w:rPr>
        <w:t>/20</w:t>
      </w:r>
      <w:r w:rsidR="007205B2">
        <w:rPr>
          <w:rFonts w:cs="Open Sans"/>
        </w:rPr>
        <w:t>20</w:t>
      </w:r>
      <w:r w:rsidR="00D66467">
        <w:rPr>
          <w:rFonts w:cs="Open Sans"/>
        </w:rPr>
        <w:t>;</w:t>
      </w:r>
    </w:p>
    <w:p w14:paraId="1DE1F55E" w14:textId="1E335C05" w:rsidR="007E602B" w:rsidRPr="00007314" w:rsidRDefault="007E602B" w:rsidP="002D21E8">
      <w:pPr>
        <w:widowControl w:val="0"/>
        <w:numPr>
          <w:ilvl w:val="0"/>
          <w:numId w:val="22"/>
        </w:numPr>
        <w:tabs>
          <w:tab w:val="num" w:pos="851"/>
        </w:tabs>
        <w:spacing w:after="0" w:line="276" w:lineRule="auto"/>
        <w:jc w:val="both"/>
        <w:rPr>
          <w:rFonts w:cs="Open Sans"/>
        </w:rPr>
      </w:pPr>
      <w:r w:rsidRPr="00007314">
        <w:rPr>
          <w:rFonts w:cs="Open Sans"/>
        </w:rPr>
        <w:t>odbiorcami Pani/Pana danych osobowych będą osoby lub podmioty, którym udostępniona zostanie dokumentacja postępowania w oparciu o art. 8 oraz art. 96 ust. 3 ustawy z dnia 29 stycznia 2004 r. – Prawo zamówień publicznych (</w:t>
      </w:r>
      <w:proofErr w:type="spellStart"/>
      <w:r w:rsidR="00BA7173" w:rsidRPr="00BA7173">
        <w:rPr>
          <w:rFonts w:cs="Open Sans"/>
        </w:rPr>
        <w:t>t.j</w:t>
      </w:r>
      <w:proofErr w:type="spellEnd"/>
      <w:r w:rsidR="00BA7173" w:rsidRPr="00BA7173">
        <w:rPr>
          <w:rFonts w:cs="Open Sans"/>
        </w:rPr>
        <w:t>. Dz.U. z 201</w:t>
      </w:r>
      <w:r w:rsidR="00C31C41">
        <w:rPr>
          <w:rFonts w:cs="Open Sans"/>
        </w:rPr>
        <w:t>9</w:t>
      </w:r>
      <w:r w:rsidR="00BA7173" w:rsidRPr="00BA7173">
        <w:rPr>
          <w:rFonts w:cs="Open Sans"/>
        </w:rPr>
        <w:t xml:space="preserve"> r. poz. </w:t>
      </w:r>
      <w:r w:rsidR="00C31C41">
        <w:rPr>
          <w:rFonts w:cs="Open Sans"/>
        </w:rPr>
        <w:t>1843</w:t>
      </w:r>
      <w:r w:rsidR="00BA7173" w:rsidRPr="00BA7173">
        <w:rPr>
          <w:rFonts w:cs="Open Sans"/>
        </w:rPr>
        <w:t xml:space="preserve"> z </w:t>
      </w:r>
      <w:proofErr w:type="spellStart"/>
      <w:r w:rsidR="00BA7173" w:rsidRPr="00BA7173">
        <w:rPr>
          <w:rFonts w:cs="Open Sans"/>
        </w:rPr>
        <w:t>późn</w:t>
      </w:r>
      <w:proofErr w:type="spellEnd"/>
      <w:r w:rsidR="00BA7173" w:rsidRPr="00BA7173">
        <w:rPr>
          <w:rFonts w:cs="Open Sans"/>
        </w:rPr>
        <w:t>. zm</w:t>
      </w:r>
      <w:r w:rsidR="00BA7173" w:rsidRPr="00BA7173" w:rsidDel="00BA7173">
        <w:rPr>
          <w:rFonts w:cs="Open Sans"/>
        </w:rPr>
        <w:t xml:space="preserve"> </w:t>
      </w:r>
      <w:r w:rsidRPr="00007314">
        <w:rPr>
          <w:rFonts w:cs="Open Sans"/>
        </w:rPr>
        <w:t xml:space="preserve">), dalej „ustawa Pzp”;  </w:t>
      </w:r>
    </w:p>
    <w:p w14:paraId="008EE800" w14:textId="77777777" w:rsidR="007E602B" w:rsidRPr="00007314" w:rsidRDefault="007E602B" w:rsidP="002D21E8">
      <w:pPr>
        <w:widowControl w:val="0"/>
        <w:numPr>
          <w:ilvl w:val="0"/>
          <w:numId w:val="22"/>
        </w:numPr>
        <w:tabs>
          <w:tab w:val="num" w:pos="851"/>
        </w:tabs>
        <w:spacing w:after="0" w:line="276" w:lineRule="auto"/>
        <w:jc w:val="both"/>
        <w:rPr>
          <w:rFonts w:cs="Open Sans"/>
        </w:rPr>
      </w:pPr>
      <w:r w:rsidRPr="00007314">
        <w:rPr>
          <w:rFonts w:cs="Open Sans"/>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566FB1B" w14:textId="77777777" w:rsidR="007E602B" w:rsidRPr="00007314" w:rsidRDefault="007E602B" w:rsidP="002D21E8">
      <w:pPr>
        <w:widowControl w:val="0"/>
        <w:numPr>
          <w:ilvl w:val="0"/>
          <w:numId w:val="22"/>
        </w:numPr>
        <w:tabs>
          <w:tab w:val="num" w:pos="851"/>
        </w:tabs>
        <w:spacing w:after="0" w:line="276" w:lineRule="auto"/>
        <w:jc w:val="both"/>
        <w:rPr>
          <w:rFonts w:cs="Open Sans"/>
          <w:b/>
          <w:i/>
        </w:rPr>
      </w:pPr>
      <w:r w:rsidRPr="00007314">
        <w:rPr>
          <w:rFonts w:cs="Open Sans"/>
        </w:rPr>
        <w:t xml:space="preserve">obowiązek podania przez Panią/Pana danych osobowych bezpośrednio Pani/Pana dotyczących jest wymogiem ustawowym określonym w przepisach ustawy Pzp, </w:t>
      </w:r>
      <w:r w:rsidRPr="00007314">
        <w:rPr>
          <w:rFonts w:cs="Open Sans"/>
        </w:rPr>
        <w:lastRenderedPageBreak/>
        <w:t xml:space="preserve">związanym z udziałem w postępowaniu o udzielenie zamówienia publicznego; konsekwencje niepodania określonych danych wynikają z ustawy Pzp;  </w:t>
      </w:r>
    </w:p>
    <w:p w14:paraId="75FF0BB4" w14:textId="77777777" w:rsidR="007E602B" w:rsidRPr="00007314" w:rsidRDefault="007E602B" w:rsidP="002D21E8">
      <w:pPr>
        <w:widowControl w:val="0"/>
        <w:numPr>
          <w:ilvl w:val="0"/>
          <w:numId w:val="22"/>
        </w:numPr>
        <w:tabs>
          <w:tab w:val="num" w:pos="851"/>
        </w:tabs>
        <w:spacing w:after="0" w:line="276" w:lineRule="auto"/>
        <w:jc w:val="both"/>
        <w:rPr>
          <w:rFonts w:cs="Open Sans"/>
        </w:rPr>
      </w:pPr>
      <w:r w:rsidRPr="00007314">
        <w:rPr>
          <w:rFonts w:cs="Open Sans"/>
        </w:rPr>
        <w:t>w odniesieniu do Pani/Pana danych osobowych decyzje nie będą podejmowane w sposób zautomatyzowany, stosowanie do art. 22 RODO;</w:t>
      </w:r>
    </w:p>
    <w:p w14:paraId="5470F226" w14:textId="77777777" w:rsidR="007E602B" w:rsidRPr="00007314" w:rsidRDefault="007E602B" w:rsidP="002D21E8">
      <w:pPr>
        <w:widowControl w:val="0"/>
        <w:numPr>
          <w:ilvl w:val="0"/>
          <w:numId w:val="22"/>
        </w:numPr>
        <w:tabs>
          <w:tab w:val="num" w:pos="851"/>
        </w:tabs>
        <w:spacing w:after="0" w:line="276" w:lineRule="auto"/>
        <w:jc w:val="both"/>
        <w:rPr>
          <w:rFonts w:cs="Open Sans"/>
        </w:rPr>
      </w:pPr>
      <w:r w:rsidRPr="00007314">
        <w:rPr>
          <w:rFonts w:cs="Open Sans"/>
        </w:rPr>
        <w:t>posiada Pani/Pan:</w:t>
      </w:r>
    </w:p>
    <w:p w14:paraId="0C067C17" w14:textId="77777777" w:rsidR="007E602B" w:rsidRPr="00007314" w:rsidRDefault="007E602B" w:rsidP="002D21E8">
      <w:pPr>
        <w:widowControl w:val="0"/>
        <w:numPr>
          <w:ilvl w:val="0"/>
          <w:numId w:val="23"/>
        </w:numPr>
        <w:tabs>
          <w:tab w:val="num" w:pos="851"/>
        </w:tabs>
        <w:spacing w:after="0" w:line="276" w:lineRule="auto"/>
        <w:jc w:val="both"/>
        <w:rPr>
          <w:rFonts w:cs="Open Sans"/>
        </w:rPr>
      </w:pPr>
      <w:r w:rsidRPr="00007314">
        <w:rPr>
          <w:rFonts w:cs="Open Sans"/>
        </w:rPr>
        <w:t>na podstawie art. 15 RODO prawo dostępu do danych osobowych Pani/Pana dotyczących;</w:t>
      </w:r>
    </w:p>
    <w:p w14:paraId="6FD3417D" w14:textId="77777777" w:rsidR="007E602B" w:rsidRPr="00007314" w:rsidRDefault="007E602B" w:rsidP="002D21E8">
      <w:pPr>
        <w:widowControl w:val="0"/>
        <w:numPr>
          <w:ilvl w:val="0"/>
          <w:numId w:val="23"/>
        </w:numPr>
        <w:tabs>
          <w:tab w:val="num" w:pos="851"/>
        </w:tabs>
        <w:spacing w:after="0" w:line="276" w:lineRule="auto"/>
        <w:jc w:val="both"/>
        <w:rPr>
          <w:rFonts w:cs="Open Sans"/>
        </w:rPr>
      </w:pPr>
      <w:r w:rsidRPr="00007314">
        <w:rPr>
          <w:rFonts w:cs="Open Sans"/>
        </w:rPr>
        <w:t>na podstawie art. 16 RODO prawo do sprostowania Pani/Pana danych osobowych;</w:t>
      </w:r>
    </w:p>
    <w:p w14:paraId="16844F06" w14:textId="77777777" w:rsidR="007E602B" w:rsidRPr="00007314" w:rsidRDefault="007E602B" w:rsidP="002D21E8">
      <w:pPr>
        <w:widowControl w:val="0"/>
        <w:numPr>
          <w:ilvl w:val="0"/>
          <w:numId w:val="23"/>
        </w:numPr>
        <w:tabs>
          <w:tab w:val="num" w:pos="851"/>
        </w:tabs>
        <w:spacing w:after="0" w:line="276" w:lineRule="auto"/>
        <w:jc w:val="both"/>
        <w:rPr>
          <w:rFonts w:cs="Open Sans"/>
        </w:rPr>
      </w:pPr>
      <w:r w:rsidRPr="00007314">
        <w:rPr>
          <w:rFonts w:cs="Open Sans"/>
        </w:rPr>
        <w:t xml:space="preserve">na podstawie art. 18 RODO prawo żądania od administratora ograniczenia przetwarzania danych osobowych z zastrzeżeniem przypadków, o których mowa w art. 18 ust. 2 RODO;  </w:t>
      </w:r>
    </w:p>
    <w:p w14:paraId="6CD86155" w14:textId="77777777" w:rsidR="007E602B" w:rsidRPr="00007314" w:rsidRDefault="007E602B" w:rsidP="002D21E8">
      <w:pPr>
        <w:widowControl w:val="0"/>
        <w:numPr>
          <w:ilvl w:val="0"/>
          <w:numId w:val="23"/>
        </w:numPr>
        <w:tabs>
          <w:tab w:val="num" w:pos="851"/>
        </w:tabs>
        <w:spacing w:after="0" w:line="276" w:lineRule="auto"/>
        <w:jc w:val="both"/>
        <w:rPr>
          <w:rFonts w:cs="Open Sans"/>
          <w:i/>
        </w:rPr>
      </w:pPr>
      <w:r w:rsidRPr="00007314">
        <w:rPr>
          <w:rFonts w:cs="Open Sans"/>
        </w:rPr>
        <w:t>prawo do wniesienia skargi do Prezesa Urzędu Ochrony Danych Osobowych, gdy uzna Pani/Pan, że przetwarzanie danych osobowych Pani/Pana dotyczących narusza przepisy RODO;</w:t>
      </w:r>
    </w:p>
    <w:p w14:paraId="441AF702" w14:textId="77777777" w:rsidR="007E602B" w:rsidRPr="00007314" w:rsidRDefault="007E602B" w:rsidP="002D21E8">
      <w:pPr>
        <w:widowControl w:val="0"/>
        <w:numPr>
          <w:ilvl w:val="0"/>
          <w:numId w:val="22"/>
        </w:numPr>
        <w:tabs>
          <w:tab w:val="num" w:pos="851"/>
        </w:tabs>
        <w:spacing w:after="0" w:line="276" w:lineRule="auto"/>
        <w:jc w:val="both"/>
        <w:rPr>
          <w:rFonts w:cs="Open Sans"/>
          <w:i/>
        </w:rPr>
      </w:pPr>
      <w:r w:rsidRPr="00007314">
        <w:rPr>
          <w:rFonts w:cs="Open Sans"/>
        </w:rPr>
        <w:t>nie przysługuje Pani/Panu:</w:t>
      </w:r>
    </w:p>
    <w:p w14:paraId="5982EEC0" w14:textId="77777777" w:rsidR="007E602B" w:rsidRPr="00007314" w:rsidRDefault="007E602B" w:rsidP="002D21E8">
      <w:pPr>
        <w:widowControl w:val="0"/>
        <w:numPr>
          <w:ilvl w:val="0"/>
          <w:numId w:val="24"/>
        </w:numPr>
        <w:tabs>
          <w:tab w:val="num" w:pos="851"/>
        </w:tabs>
        <w:spacing w:after="0" w:line="276" w:lineRule="auto"/>
        <w:jc w:val="both"/>
        <w:rPr>
          <w:rFonts w:cs="Open Sans"/>
          <w:i/>
        </w:rPr>
      </w:pPr>
      <w:r w:rsidRPr="00007314">
        <w:rPr>
          <w:rFonts w:cs="Open Sans"/>
        </w:rPr>
        <w:t>w związku z art. 17 ust. 3 lit. b, d lub e RODO prawo do usunięcia danych osobowych;</w:t>
      </w:r>
    </w:p>
    <w:p w14:paraId="0F0E3297" w14:textId="77777777" w:rsidR="007E602B" w:rsidRPr="00007314" w:rsidRDefault="007E602B" w:rsidP="002D21E8">
      <w:pPr>
        <w:widowControl w:val="0"/>
        <w:numPr>
          <w:ilvl w:val="0"/>
          <w:numId w:val="24"/>
        </w:numPr>
        <w:tabs>
          <w:tab w:val="num" w:pos="851"/>
        </w:tabs>
        <w:spacing w:after="0" w:line="276" w:lineRule="auto"/>
        <w:jc w:val="both"/>
        <w:rPr>
          <w:rFonts w:cs="Open Sans"/>
          <w:b/>
          <w:i/>
        </w:rPr>
      </w:pPr>
      <w:r w:rsidRPr="00007314">
        <w:rPr>
          <w:rFonts w:cs="Open Sans"/>
        </w:rPr>
        <w:t>prawo do przenoszenia danych osobowych, o którym mowa w art. 20 RODO;</w:t>
      </w:r>
    </w:p>
    <w:p w14:paraId="2EB7817B" w14:textId="77777777" w:rsidR="00CC3E69" w:rsidRPr="00007314" w:rsidRDefault="007E602B" w:rsidP="00CF2FDA">
      <w:pPr>
        <w:widowControl w:val="0"/>
        <w:numPr>
          <w:ilvl w:val="0"/>
          <w:numId w:val="24"/>
        </w:numPr>
        <w:tabs>
          <w:tab w:val="num" w:pos="851"/>
        </w:tabs>
        <w:spacing w:after="0" w:line="276" w:lineRule="auto"/>
        <w:jc w:val="both"/>
        <w:rPr>
          <w:rFonts w:cs="Open Sans"/>
          <w:b/>
          <w:i/>
        </w:rPr>
      </w:pPr>
      <w:r w:rsidRPr="00007314">
        <w:rPr>
          <w:rFonts w:cs="Open Sans"/>
          <w:b/>
        </w:rPr>
        <w:t>na podstawie art. 21 RODO prawo sprzeciwu, wobec przetwarzania danych osobowych, gdyż podstawą prawną przetwarzania Pani/Pana danych osobowych jest art. 6 ust. 1 lit. c RODO</w:t>
      </w:r>
      <w:r w:rsidRPr="00007314">
        <w:rPr>
          <w:rFonts w:cs="Open Sans"/>
        </w:rPr>
        <w:t>.</w:t>
      </w:r>
      <w:r w:rsidRPr="00007314">
        <w:rPr>
          <w:rFonts w:cs="Open Sans"/>
          <w:b/>
        </w:rPr>
        <w:t xml:space="preserve"> </w:t>
      </w:r>
    </w:p>
    <w:p w14:paraId="50EF0F1E" w14:textId="2B8B5F59" w:rsidR="00972382" w:rsidRDefault="00972382" w:rsidP="00CF2FDA">
      <w:pPr>
        <w:spacing w:after="0" w:line="276" w:lineRule="auto"/>
        <w:jc w:val="both"/>
        <w:rPr>
          <w:rFonts w:cs="Open Sans"/>
        </w:rPr>
      </w:pPr>
    </w:p>
    <w:p w14:paraId="1CD59CFF" w14:textId="49F496F0" w:rsidR="004B64F4" w:rsidRDefault="004B64F4" w:rsidP="00CF2FDA">
      <w:pPr>
        <w:spacing w:after="0" w:line="276" w:lineRule="auto"/>
        <w:jc w:val="both"/>
        <w:rPr>
          <w:rFonts w:cs="Open Sans"/>
        </w:rPr>
      </w:pPr>
    </w:p>
    <w:p w14:paraId="474F46C9" w14:textId="24D58ADC" w:rsidR="004B64F4" w:rsidRDefault="004B64F4" w:rsidP="00CF2FDA">
      <w:pPr>
        <w:spacing w:after="0" w:line="276" w:lineRule="auto"/>
        <w:jc w:val="both"/>
        <w:rPr>
          <w:rFonts w:cs="Open Sans"/>
        </w:rPr>
      </w:pPr>
    </w:p>
    <w:p w14:paraId="2F3CEA3F" w14:textId="4EF341EF" w:rsidR="00215057" w:rsidRDefault="00215057" w:rsidP="00CF2FDA">
      <w:pPr>
        <w:spacing w:after="0" w:line="276" w:lineRule="auto"/>
        <w:jc w:val="both"/>
        <w:rPr>
          <w:rFonts w:cs="Open Sans"/>
        </w:rPr>
      </w:pPr>
    </w:p>
    <w:p w14:paraId="65355FDD" w14:textId="4BAB8CA8" w:rsidR="00215057" w:rsidRDefault="00215057" w:rsidP="00CF2FDA">
      <w:pPr>
        <w:spacing w:after="0" w:line="276" w:lineRule="auto"/>
        <w:jc w:val="both"/>
        <w:rPr>
          <w:rFonts w:cs="Open Sans"/>
        </w:rPr>
      </w:pPr>
    </w:p>
    <w:p w14:paraId="0F3FEE0A" w14:textId="229BA36B" w:rsidR="00215057" w:rsidRDefault="00215057" w:rsidP="00CF2FDA">
      <w:pPr>
        <w:spacing w:after="0" w:line="276" w:lineRule="auto"/>
        <w:jc w:val="both"/>
        <w:rPr>
          <w:rFonts w:cs="Open Sans"/>
        </w:rPr>
      </w:pPr>
    </w:p>
    <w:p w14:paraId="47D8F2AC" w14:textId="68E2902A" w:rsidR="00215057" w:rsidRDefault="00215057" w:rsidP="00CF2FDA">
      <w:pPr>
        <w:spacing w:after="0" w:line="276" w:lineRule="auto"/>
        <w:jc w:val="both"/>
        <w:rPr>
          <w:rFonts w:cs="Open Sans"/>
        </w:rPr>
      </w:pPr>
    </w:p>
    <w:p w14:paraId="56C199BC" w14:textId="5C33B283" w:rsidR="00215057" w:rsidRDefault="00215057" w:rsidP="00CF2FDA">
      <w:pPr>
        <w:spacing w:after="0" w:line="276" w:lineRule="auto"/>
        <w:jc w:val="both"/>
        <w:rPr>
          <w:rFonts w:cs="Open Sans"/>
        </w:rPr>
      </w:pPr>
    </w:p>
    <w:p w14:paraId="46543709" w14:textId="27D0403E" w:rsidR="00215057" w:rsidRDefault="00215057" w:rsidP="00CF2FDA">
      <w:pPr>
        <w:spacing w:after="0" w:line="276" w:lineRule="auto"/>
        <w:jc w:val="both"/>
        <w:rPr>
          <w:rFonts w:cs="Open Sans"/>
        </w:rPr>
      </w:pPr>
    </w:p>
    <w:p w14:paraId="7B3D5A8B" w14:textId="7BC78665" w:rsidR="00215057" w:rsidRDefault="00215057" w:rsidP="00CF2FDA">
      <w:pPr>
        <w:spacing w:after="0" w:line="276" w:lineRule="auto"/>
        <w:jc w:val="both"/>
        <w:rPr>
          <w:rFonts w:cs="Open Sans"/>
        </w:rPr>
      </w:pPr>
    </w:p>
    <w:p w14:paraId="307BD34B" w14:textId="1965AECD" w:rsidR="00215057" w:rsidRDefault="00215057" w:rsidP="00CF2FDA">
      <w:pPr>
        <w:spacing w:after="0" w:line="276" w:lineRule="auto"/>
        <w:jc w:val="both"/>
        <w:rPr>
          <w:rFonts w:cs="Open Sans"/>
        </w:rPr>
      </w:pPr>
    </w:p>
    <w:p w14:paraId="6CEFBE0B" w14:textId="445AA874" w:rsidR="00215057" w:rsidRDefault="00215057" w:rsidP="00CF2FDA">
      <w:pPr>
        <w:spacing w:after="0" w:line="276" w:lineRule="auto"/>
        <w:jc w:val="both"/>
        <w:rPr>
          <w:rFonts w:cs="Open Sans"/>
        </w:rPr>
      </w:pPr>
    </w:p>
    <w:p w14:paraId="64FD38BD" w14:textId="61769941" w:rsidR="00215057" w:rsidRDefault="00215057" w:rsidP="00CF2FDA">
      <w:pPr>
        <w:spacing w:after="0" w:line="276" w:lineRule="auto"/>
        <w:jc w:val="both"/>
        <w:rPr>
          <w:rFonts w:cs="Open Sans"/>
        </w:rPr>
      </w:pPr>
    </w:p>
    <w:p w14:paraId="1DE2305A" w14:textId="0965A917" w:rsidR="00215057" w:rsidRDefault="00215057" w:rsidP="00CF2FDA">
      <w:pPr>
        <w:spacing w:after="0" w:line="276" w:lineRule="auto"/>
        <w:jc w:val="both"/>
        <w:rPr>
          <w:rFonts w:cs="Open Sans"/>
        </w:rPr>
      </w:pPr>
    </w:p>
    <w:p w14:paraId="1C149A45" w14:textId="5D6F0468" w:rsidR="00215057" w:rsidRDefault="00215057" w:rsidP="00CF2FDA">
      <w:pPr>
        <w:spacing w:after="0" w:line="276" w:lineRule="auto"/>
        <w:jc w:val="both"/>
        <w:rPr>
          <w:rFonts w:cs="Open Sans"/>
        </w:rPr>
      </w:pPr>
    </w:p>
    <w:p w14:paraId="07090498" w14:textId="0001E389" w:rsidR="00215057" w:rsidRDefault="00215057" w:rsidP="00CF2FDA">
      <w:pPr>
        <w:spacing w:after="0" w:line="276" w:lineRule="auto"/>
        <w:jc w:val="both"/>
        <w:rPr>
          <w:rFonts w:cs="Open Sans"/>
        </w:rPr>
      </w:pPr>
    </w:p>
    <w:p w14:paraId="6382A79B" w14:textId="2664BEED" w:rsidR="00215057" w:rsidRDefault="00215057" w:rsidP="00CF2FDA">
      <w:pPr>
        <w:spacing w:after="0" w:line="276" w:lineRule="auto"/>
        <w:jc w:val="both"/>
        <w:rPr>
          <w:rFonts w:cs="Open Sans"/>
        </w:rPr>
      </w:pPr>
    </w:p>
    <w:p w14:paraId="01FD54BB" w14:textId="6EA83A1C" w:rsidR="00215057" w:rsidRDefault="00215057" w:rsidP="00CF2FDA">
      <w:pPr>
        <w:spacing w:after="0" w:line="276" w:lineRule="auto"/>
        <w:jc w:val="both"/>
        <w:rPr>
          <w:rFonts w:cs="Open Sans"/>
        </w:rPr>
      </w:pPr>
    </w:p>
    <w:p w14:paraId="46CA3C82" w14:textId="57802D34" w:rsidR="00215057" w:rsidRDefault="00215057" w:rsidP="00CF2FDA">
      <w:pPr>
        <w:spacing w:after="0" w:line="276" w:lineRule="auto"/>
        <w:jc w:val="both"/>
        <w:rPr>
          <w:rFonts w:cs="Open Sans"/>
        </w:rPr>
      </w:pPr>
    </w:p>
    <w:p w14:paraId="6B5305E5" w14:textId="6B161282" w:rsidR="00215057" w:rsidRDefault="00215057" w:rsidP="00CF2FDA">
      <w:pPr>
        <w:spacing w:after="0" w:line="276" w:lineRule="auto"/>
        <w:jc w:val="both"/>
        <w:rPr>
          <w:rFonts w:cs="Open Sans"/>
        </w:rPr>
      </w:pPr>
    </w:p>
    <w:p w14:paraId="48D0E9DB" w14:textId="11A84E4E" w:rsidR="00215057" w:rsidRDefault="00215057" w:rsidP="00CF2FDA">
      <w:pPr>
        <w:spacing w:after="0" w:line="276" w:lineRule="auto"/>
        <w:jc w:val="both"/>
        <w:rPr>
          <w:rFonts w:cs="Open Sans"/>
        </w:rPr>
      </w:pPr>
    </w:p>
    <w:p w14:paraId="00D0AE5A" w14:textId="60BD6605" w:rsidR="00215057" w:rsidRDefault="00215057" w:rsidP="00CF2FDA">
      <w:pPr>
        <w:spacing w:after="0" w:line="276" w:lineRule="auto"/>
        <w:jc w:val="both"/>
        <w:rPr>
          <w:rFonts w:cs="Open Sans"/>
        </w:rPr>
      </w:pPr>
    </w:p>
    <w:p w14:paraId="5CFFB7EA" w14:textId="593F791A" w:rsidR="00215057" w:rsidRDefault="00215057" w:rsidP="00CF2FDA">
      <w:pPr>
        <w:spacing w:after="0" w:line="276" w:lineRule="auto"/>
        <w:jc w:val="both"/>
        <w:rPr>
          <w:rFonts w:cs="Open Sans"/>
        </w:rPr>
      </w:pPr>
    </w:p>
    <w:p w14:paraId="7315C644" w14:textId="77777777" w:rsidR="00215057" w:rsidRDefault="00215057" w:rsidP="00CF2FDA">
      <w:pPr>
        <w:spacing w:after="0" w:line="276" w:lineRule="auto"/>
        <w:jc w:val="both"/>
        <w:rPr>
          <w:rFonts w:cs="Open Sans"/>
        </w:rPr>
      </w:pPr>
    </w:p>
    <w:p w14:paraId="17694466" w14:textId="77777777" w:rsidR="004B64F4" w:rsidRPr="00007314" w:rsidRDefault="004B64F4" w:rsidP="00CF2FDA">
      <w:pPr>
        <w:spacing w:after="0" w:line="276" w:lineRule="auto"/>
        <w:jc w:val="both"/>
        <w:rPr>
          <w:rFonts w:cs="Open Sans"/>
        </w:rPr>
      </w:pPr>
    </w:p>
    <w:p w14:paraId="7E23DE04" w14:textId="77777777" w:rsidR="00D3091E" w:rsidRPr="00007314" w:rsidRDefault="00A538FA" w:rsidP="00CF2FDA">
      <w:pPr>
        <w:pStyle w:val="Akapitzlist"/>
        <w:numPr>
          <w:ilvl w:val="0"/>
          <w:numId w:val="2"/>
        </w:numPr>
        <w:spacing w:after="0" w:line="276" w:lineRule="auto"/>
        <w:jc w:val="both"/>
        <w:rPr>
          <w:rFonts w:cs="Open Sans"/>
          <w:b/>
        </w:rPr>
      </w:pPr>
      <w:r w:rsidRPr="00007314">
        <w:rPr>
          <w:rFonts w:cs="Open Sans"/>
          <w:b/>
        </w:rPr>
        <w:t>NAZWA (FIRMA) ORAZ ADRES ZAMAWIAJĄCEGO</w:t>
      </w:r>
    </w:p>
    <w:p w14:paraId="768B6DE2" w14:textId="6926FF4A" w:rsidR="00215057" w:rsidRPr="00215057" w:rsidRDefault="00754642" w:rsidP="00215057">
      <w:pPr>
        <w:pStyle w:val="Akapitzlist"/>
        <w:spacing w:after="0" w:line="276" w:lineRule="auto"/>
        <w:jc w:val="both"/>
        <w:rPr>
          <w:rFonts w:cs="Open Sans"/>
        </w:rPr>
      </w:pPr>
      <w:r w:rsidRPr="00007314">
        <w:rPr>
          <w:rFonts w:cs="Open Sans"/>
        </w:rPr>
        <w:t xml:space="preserve">Gdańskie Usługi Komunalne Sp. z o.o. z siedzibą w Gdańsku przy ul. </w:t>
      </w:r>
      <w:r w:rsidR="00EA5BC8" w:rsidRPr="00007314">
        <w:rPr>
          <w:rFonts w:cs="Open Sans"/>
        </w:rPr>
        <w:t>Jabłoniowej 55, 80-180 Gdańsk</w:t>
      </w:r>
      <w:r w:rsidRPr="00007314">
        <w:rPr>
          <w:rFonts w:cs="Open Sans"/>
        </w:rPr>
        <w:t xml:space="preserve">, wpisana do Rejestru Przedsiębiorców Krajowego Rejestru Sądowego przez Sąd Rejonowy Gdańsk – Północ w Gdańsku VII Wydział Gospodarczy KRS pod numerem KRS: 0000315357; </w:t>
      </w:r>
      <w:r w:rsidR="005353EE" w:rsidRPr="00007314">
        <w:rPr>
          <w:rFonts w:cs="Open Sans"/>
        </w:rPr>
        <w:t xml:space="preserve">kapitał zakładowy 24 705 000,00 zł; </w:t>
      </w:r>
    </w:p>
    <w:p w14:paraId="1B79FABE" w14:textId="3363AA4B" w:rsidR="00BF3CC6" w:rsidRPr="00215057" w:rsidRDefault="00754642" w:rsidP="00215057">
      <w:pPr>
        <w:pStyle w:val="Akapitzlist"/>
        <w:spacing w:after="0" w:line="276" w:lineRule="auto"/>
        <w:jc w:val="both"/>
        <w:rPr>
          <w:rFonts w:cs="Open Sans"/>
        </w:rPr>
      </w:pPr>
      <w:r w:rsidRPr="00007314">
        <w:rPr>
          <w:rFonts w:cs="Open Sans"/>
        </w:rPr>
        <w:t>tel. 0 58 722 01 00; fax: 0 58 722 01 03</w:t>
      </w:r>
      <w:r w:rsidR="00215057">
        <w:rPr>
          <w:rFonts w:cs="Open Sans"/>
        </w:rPr>
        <w:t>,</w:t>
      </w:r>
    </w:p>
    <w:p w14:paraId="3D256109" w14:textId="21DC5C5D" w:rsidR="004B64F4" w:rsidRPr="00215057" w:rsidRDefault="00754642" w:rsidP="00215057">
      <w:pPr>
        <w:pStyle w:val="Akapitzlist"/>
        <w:spacing w:after="0" w:line="276" w:lineRule="auto"/>
        <w:jc w:val="both"/>
        <w:rPr>
          <w:rFonts w:cs="Open Sans"/>
        </w:rPr>
      </w:pPr>
      <w:r w:rsidRPr="004B64F4">
        <w:rPr>
          <w:rFonts w:cs="Open Sans"/>
        </w:rPr>
        <w:t>adres do korespondencji: ul. Konna 35, 80-174 Otomin</w:t>
      </w:r>
    </w:p>
    <w:p w14:paraId="06C9FC71" w14:textId="5D863D4F" w:rsidR="004B64F4" w:rsidRPr="00215057" w:rsidRDefault="00754642" w:rsidP="00215057">
      <w:pPr>
        <w:pStyle w:val="Akapitzlist"/>
        <w:spacing w:after="0" w:line="276" w:lineRule="auto"/>
        <w:jc w:val="both"/>
        <w:rPr>
          <w:rFonts w:cs="Open Sans"/>
          <w:lang w:val="de-AT"/>
        </w:rPr>
      </w:pPr>
      <w:proofErr w:type="spellStart"/>
      <w:r w:rsidRPr="004B64F4">
        <w:rPr>
          <w:rFonts w:cs="Open Sans"/>
          <w:lang w:val="de-AT"/>
        </w:rPr>
        <w:t>adres</w:t>
      </w:r>
      <w:proofErr w:type="spellEnd"/>
      <w:r w:rsidRPr="004B64F4">
        <w:rPr>
          <w:rFonts w:cs="Open Sans"/>
          <w:lang w:val="de-AT"/>
        </w:rPr>
        <w:t xml:space="preserve"> </w:t>
      </w:r>
      <w:r w:rsidR="00215057" w:rsidRPr="004B64F4">
        <w:rPr>
          <w:rFonts w:cs="Open Sans"/>
          <w:lang w:val="de-AT"/>
        </w:rPr>
        <w:t>email</w:t>
      </w:r>
      <w:r w:rsidRPr="004B64F4">
        <w:rPr>
          <w:rFonts w:cs="Open Sans"/>
          <w:lang w:val="de-AT"/>
        </w:rPr>
        <w:t>: biuro@guk.gda.pl</w:t>
      </w:r>
    </w:p>
    <w:p w14:paraId="4FF600D9" w14:textId="05673267" w:rsidR="004B64F4" w:rsidRPr="00215057" w:rsidRDefault="00754642" w:rsidP="00215057">
      <w:pPr>
        <w:pStyle w:val="Akapitzlist"/>
        <w:spacing w:after="0" w:line="276" w:lineRule="auto"/>
        <w:jc w:val="both"/>
        <w:rPr>
          <w:rFonts w:cs="Open Sans"/>
        </w:rPr>
      </w:pPr>
      <w:r w:rsidRPr="004B64F4">
        <w:rPr>
          <w:rFonts w:cs="Open Sans"/>
        </w:rPr>
        <w:t xml:space="preserve">adres strony internetowej: www.guk.gda.pl </w:t>
      </w:r>
    </w:p>
    <w:p w14:paraId="65155220" w14:textId="0DE61D12" w:rsidR="00D3091E" w:rsidRPr="004B64F4" w:rsidRDefault="00754642" w:rsidP="00CF2FDA">
      <w:pPr>
        <w:pStyle w:val="Akapitzlist"/>
        <w:spacing w:after="0" w:line="276" w:lineRule="auto"/>
        <w:jc w:val="both"/>
        <w:rPr>
          <w:rFonts w:cs="Open Sans"/>
          <w:color w:val="000000" w:themeColor="text1"/>
        </w:rPr>
      </w:pPr>
      <w:r w:rsidRPr="004B64F4">
        <w:rPr>
          <w:rFonts w:cs="Open Sans"/>
        </w:rPr>
        <w:t>NIP 583 304 41 36 REGON 220683773</w:t>
      </w:r>
    </w:p>
    <w:p w14:paraId="7DFC8E08" w14:textId="77777777" w:rsidR="009A6118" w:rsidRPr="00007314" w:rsidRDefault="009A6118" w:rsidP="00AF612B">
      <w:pPr>
        <w:spacing w:after="0" w:line="276" w:lineRule="auto"/>
        <w:jc w:val="both"/>
        <w:rPr>
          <w:rFonts w:cs="Open Sans"/>
        </w:rPr>
      </w:pPr>
    </w:p>
    <w:p w14:paraId="5CE1C523" w14:textId="77777777" w:rsidR="009A6118" w:rsidRPr="00007314" w:rsidRDefault="00906453" w:rsidP="009A6118">
      <w:pPr>
        <w:spacing w:after="0" w:line="276" w:lineRule="auto"/>
        <w:ind w:left="708"/>
        <w:jc w:val="both"/>
        <w:rPr>
          <w:rFonts w:cs="Open Sans"/>
        </w:rPr>
      </w:pPr>
      <w:r w:rsidRPr="00007314">
        <w:rPr>
          <w:rFonts w:cs="Open Sans"/>
        </w:rPr>
        <w:t xml:space="preserve">Niniejsze postępowanie prowadzone jest przy udziale brokera ubezpieczeniowego GrECo JLT Polska sp. z o.o., z siedzibą w Warszawie przy ulicy Prostej 80. Wynagrodzenie brokera w postaci kurtażu brokerskiego ponosi Wykonawca. </w:t>
      </w:r>
    </w:p>
    <w:p w14:paraId="5C54AFD9" w14:textId="77777777" w:rsidR="009A6118" w:rsidRPr="00007314" w:rsidRDefault="009A6118" w:rsidP="00AF612B">
      <w:pPr>
        <w:spacing w:after="0" w:line="276" w:lineRule="auto"/>
        <w:jc w:val="both"/>
        <w:rPr>
          <w:rFonts w:cs="Open Sans"/>
        </w:rPr>
      </w:pPr>
    </w:p>
    <w:p w14:paraId="37EAF365" w14:textId="77777777" w:rsidR="00D3091E" w:rsidRPr="00007314" w:rsidRDefault="00A538FA" w:rsidP="00CF2FDA">
      <w:pPr>
        <w:pStyle w:val="Akapitzlist"/>
        <w:numPr>
          <w:ilvl w:val="0"/>
          <w:numId w:val="2"/>
        </w:numPr>
        <w:spacing w:after="0" w:line="276" w:lineRule="auto"/>
        <w:jc w:val="both"/>
        <w:rPr>
          <w:rFonts w:cs="Open Sans"/>
        </w:rPr>
      </w:pPr>
      <w:r w:rsidRPr="00007314">
        <w:rPr>
          <w:rFonts w:cs="Open Sans"/>
          <w:b/>
        </w:rPr>
        <w:t>TRYB UDZIELENIA ZAMÓWIENIA</w:t>
      </w:r>
    </w:p>
    <w:p w14:paraId="4B88422E" w14:textId="572E16F5" w:rsidR="00D3091E" w:rsidRPr="00007314" w:rsidRDefault="00D3091E" w:rsidP="00AF612B">
      <w:pPr>
        <w:pStyle w:val="Akapitzlist"/>
        <w:spacing w:after="0" w:line="276" w:lineRule="auto"/>
        <w:jc w:val="both"/>
        <w:rPr>
          <w:rFonts w:cs="Open Sans"/>
        </w:rPr>
      </w:pPr>
      <w:r w:rsidRPr="00007314">
        <w:rPr>
          <w:rFonts w:cs="Open Sans"/>
        </w:rPr>
        <w:t xml:space="preserve">Przetarg nieograniczony na podstawie art. 39 </w:t>
      </w:r>
      <w:r w:rsidR="006552A9">
        <w:rPr>
          <w:rFonts w:cs="Open Sans"/>
        </w:rPr>
        <w:t>u</w:t>
      </w:r>
      <w:r w:rsidRPr="00007314">
        <w:rPr>
          <w:rFonts w:cs="Open Sans"/>
        </w:rPr>
        <w:t xml:space="preserve">stawy </w:t>
      </w:r>
      <w:r w:rsidR="006552A9">
        <w:rPr>
          <w:rFonts w:cs="Open Sans"/>
        </w:rPr>
        <w:t>P</w:t>
      </w:r>
      <w:r w:rsidR="00B725F0" w:rsidRPr="00007314">
        <w:rPr>
          <w:rFonts w:cs="Open Sans"/>
        </w:rPr>
        <w:t>zp</w:t>
      </w:r>
    </w:p>
    <w:p w14:paraId="455FCC68" w14:textId="77777777" w:rsidR="00F72DCC" w:rsidRPr="00007314" w:rsidRDefault="00F72DCC" w:rsidP="00CF2FDA">
      <w:pPr>
        <w:pStyle w:val="Akapitzlist"/>
        <w:spacing w:after="0" w:line="276" w:lineRule="auto"/>
        <w:jc w:val="both"/>
        <w:rPr>
          <w:rFonts w:cs="Open Sans"/>
        </w:rPr>
      </w:pPr>
    </w:p>
    <w:p w14:paraId="073188A0" w14:textId="77777777" w:rsidR="00BF3CC6" w:rsidRPr="00007314" w:rsidRDefault="00A538FA" w:rsidP="00BF3CC6">
      <w:pPr>
        <w:pStyle w:val="Akapitzlist"/>
        <w:numPr>
          <w:ilvl w:val="0"/>
          <w:numId w:val="2"/>
        </w:numPr>
        <w:spacing w:after="0" w:line="276" w:lineRule="auto"/>
        <w:jc w:val="both"/>
        <w:rPr>
          <w:rFonts w:cs="Open Sans"/>
          <w:b/>
        </w:rPr>
      </w:pPr>
      <w:r w:rsidRPr="00007314">
        <w:rPr>
          <w:rFonts w:cs="Open Sans"/>
          <w:b/>
        </w:rPr>
        <w:t>OPIS PRZEDMIOTU ZAMÓWIENIA</w:t>
      </w:r>
    </w:p>
    <w:p w14:paraId="1253299C" w14:textId="77777777" w:rsidR="00A83ED8" w:rsidRPr="00007314" w:rsidRDefault="00BF3CC6" w:rsidP="002D21E8">
      <w:pPr>
        <w:pStyle w:val="Akapitzlist"/>
        <w:numPr>
          <w:ilvl w:val="0"/>
          <w:numId w:val="28"/>
        </w:numPr>
        <w:tabs>
          <w:tab w:val="left" w:pos="1276"/>
        </w:tabs>
        <w:spacing w:after="0" w:line="276" w:lineRule="auto"/>
        <w:jc w:val="both"/>
        <w:rPr>
          <w:rFonts w:cs="Open Sans"/>
        </w:rPr>
      </w:pPr>
      <w:r w:rsidRPr="00007314">
        <w:rPr>
          <w:rFonts w:cs="Open Sans"/>
        </w:rPr>
        <w:t>Przedmiotem zamówienia jest świadczenie przez Wykonawcę na rzecz Zamawiającego usług ubezpieczenia mienia i odpowiedzialności cywilnej z tytułu prowadzenia działalności i posiadania mienia, ubezpieczenia komunikacyjnego oraz ubezpieczenia odpowiedzialności cywilnej osób zarządzających spółką.</w:t>
      </w:r>
    </w:p>
    <w:p w14:paraId="1B700417" w14:textId="77777777" w:rsidR="00BF3CC6" w:rsidRPr="00007314" w:rsidRDefault="00BF3CC6" w:rsidP="002D21E8">
      <w:pPr>
        <w:pStyle w:val="Akapitzlist"/>
        <w:numPr>
          <w:ilvl w:val="0"/>
          <w:numId w:val="28"/>
        </w:numPr>
        <w:tabs>
          <w:tab w:val="left" w:pos="1276"/>
        </w:tabs>
        <w:spacing w:after="0" w:line="276" w:lineRule="auto"/>
        <w:jc w:val="both"/>
        <w:rPr>
          <w:rFonts w:cs="Open Sans"/>
        </w:rPr>
      </w:pPr>
      <w:r w:rsidRPr="00007314">
        <w:rPr>
          <w:rFonts w:cs="Open Sans"/>
        </w:rPr>
        <w:t>Przedmiot zamówienia został podzielony na części:</w:t>
      </w:r>
    </w:p>
    <w:p w14:paraId="3359A599" w14:textId="77777777" w:rsidR="00BF3CC6" w:rsidRPr="00007314" w:rsidRDefault="00BF3CC6" w:rsidP="002D21E8">
      <w:pPr>
        <w:pStyle w:val="Akapitzlist"/>
        <w:numPr>
          <w:ilvl w:val="1"/>
          <w:numId w:val="28"/>
        </w:numPr>
        <w:tabs>
          <w:tab w:val="left" w:pos="1276"/>
        </w:tabs>
        <w:spacing w:after="0" w:line="276" w:lineRule="auto"/>
        <w:jc w:val="both"/>
        <w:rPr>
          <w:rFonts w:cs="Open Sans"/>
          <w:u w:val="single"/>
        </w:rPr>
      </w:pPr>
      <w:r w:rsidRPr="00007314">
        <w:rPr>
          <w:rFonts w:cs="Open Sans"/>
          <w:u w:val="single"/>
        </w:rPr>
        <w:t>Zadanie nr 1 – Ubezpieczenie majątkowe, obejmujące następujące pakiety:</w:t>
      </w:r>
    </w:p>
    <w:p w14:paraId="621CAC4D" w14:textId="7BCE9BBE" w:rsidR="006A112B" w:rsidRPr="00007314" w:rsidRDefault="00BF3CC6" w:rsidP="00700CA6">
      <w:pPr>
        <w:pStyle w:val="Akapitzlist"/>
        <w:ind w:firstLine="696"/>
        <w:rPr>
          <w:rFonts w:cs="Open Sans"/>
        </w:rPr>
      </w:pPr>
      <w:r w:rsidRPr="00007314">
        <w:rPr>
          <w:rFonts w:cs="Open Sans"/>
        </w:rPr>
        <w:t>Pakiet nr 1 – ubezpieczenie mienia od wszystkich ryzyk.</w:t>
      </w:r>
    </w:p>
    <w:p w14:paraId="083D847A" w14:textId="77777777" w:rsidR="006A112B" w:rsidRPr="00007314" w:rsidRDefault="006A112B" w:rsidP="00700CA6">
      <w:pPr>
        <w:pStyle w:val="Akapitzlist"/>
        <w:ind w:left="1416"/>
        <w:rPr>
          <w:rFonts w:cs="Open Sans"/>
        </w:rPr>
      </w:pPr>
    </w:p>
    <w:p w14:paraId="4723AD86" w14:textId="4039BFE9" w:rsidR="009A6118" w:rsidRPr="00007314" w:rsidRDefault="00BF3CC6" w:rsidP="00700CA6">
      <w:pPr>
        <w:pStyle w:val="Akapitzlist"/>
        <w:ind w:left="1416"/>
      </w:pPr>
      <w:r w:rsidRPr="00007314">
        <w:rPr>
          <w:rFonts w:cs="Open Sans"/>
        </w:rPr>
        <w:t>Pakiet nr 2 – ubezpieczenie odpowiedzialności cywilnej z tytułu prowadzenia działalności i posiadania mienia.</w:t>
      </w:r>
    </w:p>
    <w:p w14:paraId="3EC4D382" w14:textId="77777777" w:rsidR="00BF3CC6" w:rsidRPr="00007314" w:rsidRDefault="00BF3CC6" w:rsidP="006A112B">
      <w:pPr>
        <w:pStyle w:val="Akapitzlist"/>
        <w:suppressAutoHyphens/>
        <w:spacing w:after="0" w:line="240" w:lineRule="auto"/>
        <w:ind w:left="1794"/>
        <w:contextualSpacing w:val="0"/>
        <w:jc w:val="both"/>
      </w:pPr>
    </w:p>
    <w:p w14:paraId="1FF2F64C" w14:textId="77777777" w:rsidR="00BF3CC6" w:rsidRPr="00007314" w:rsidRDefault="00BF3CC6" w:rsidP="002D21E8">
      <w:pPr>
        <w:pStyle w:val="Akapitzlist"/>
        <w:numPr>
          <w:ilvl w:val="1"/>
          <w:numId w:val="28"/>
        </w:numPr>
        <w:jc w:val="both"/>
        <w:rPr>
          <w:rFonts w:cs="Open Sans"/>
          <w:u w:val="single"/>
        </w:rPr>
      </w:pPr>
      <w:r w:rsidRPr="00007314">
        <w:rPr>
          <w:rFonts w:cs="Open Sans"/>
          <w:u w:val="single"/>
        </w:rPr>
        <w:t>Zadanie nr 2 – Ubezpieczenie komunikacyjne, obejmujące następujące pakiety:</w:t>
      </w:r>
    </w:p>
    <w:p w14:paraId="44F63B7A" w14:textId="0284191A" w:rsidR="006A112B" w:rsidRPr="00007314" w:rsidRDefault="00BF3CC6" w:rsidP="00C42938">
      <w:pPr>
        <w:ind w:left="1416"/>
      </w:pPr>
      <w:r w:rsidRPr="00007314">
        <w:rPr>
          <w:rFonts w:cs="Open Sans"/>
        </w:rPr>
        <w:t xml:space="preserve">Pakiet nr 1 – </w:t>
      </w:r>
      <w:r w:rsidRPr="00007314">
        <w:rPr>
          <w:rFonts w:cs="Open Sans"/>
          <w:bCs/>
          <w:iCs/>
          <w:color w:val="000000"/>
        </w:rPr>
        <w:t>ubezpieczenie pojazdów, ich części lub wyposażenia od uszkodzeń, zniszczenia lub utraty (w tym również wskutek kradzieży) – Autocasco</w:t>
      </w:r>
      <w:r w:rsidR="009A6118" w:rsidRPr="00007314">
        <w:rPr>
          <w:rFonts w:cs="Open Sans"/>
          <w:bCs/>
          <w:iCs/>
          <w:color w:val="000000"/>
        </w:rPr>
        <w:t>.</w:t>
      </w:r>
    </w:p>
    <w:p w14:paraId="355490A3" w14:textId="20C3AA8D" w:rsidR="006A112B" w:rsidRPr="00007314" w:rsidRDefault="00BF3CC6" w:rsidP="00C42938">
      <w:pPr>
        <w:ind w:left="1416"/>
        <w:rPr>
          <w:rFonts w:cs="Open Sans"/>
        </w:rPr>
      </w:pPr>
      <w:r w:rsidRPr="00007314">
        <w:rPr>
          <w:rFonts w:cs="Open Sans"/>
        </w:rPr>
        <w:t xml:space="preserve">Pakiet nr 2 – </w:t>
      </w:r>
      <w:r w:rsidRPr="00007314">
        <w:rPr>
          <w:rFonts w:cs="Open Sans"/>
          <w:bCs/>
          <w:iCs/>
          <w:color w:val="000000"/>
        </w:rPr>
        <w:t>ubezpieczenie odpowiedzialności cywilnej posiadaczy pojazdów mechanicznych za szkody powstałe w związku z ruchem tych pojazdów</w:t>
      </w:r>
      <w:r w:rsidRPr="00007314">
        <w:rPr>
          <w:rFonts w:cs="Open Sans"/>
        </w:rPr>
        <w:t>.</w:t>
      </w:r>
    </w:p>
    <w:p w14:paraId="1D5E282B" w14:textId="77777777" w:rsidR="00BF3CC6" w:rsidRPr="00007314" w:rsidRDefault="00BF3CC6" w:rsidP="00C42938">
      <w:pPr>
        <w:ind w:left="1416"/>
      </w:pPr>
      <w:r w:rsidRPr="00007314">
        <w:t>Pakiet nr 3 – ubezpieczenie następstw nieszczęśliwych wypadków.</w:t>
      </w:r>
    </w:p>
    <w:p w14:paraId="4037ACF3" w14:textId="77777777" w:rsidR="00BF3CC6" w:rsidRPr="00007314" w:rsidRDefault="00BF3CC6" w:rsidP="00BF3CC6">
      <w:pPr>
        <w:pStyle w:val="Akapitzlist"/>
        <w:spacing w:after="0" w:line="240" w:lineRule="auto"/>
        <w:ind w:left="1434"/>
        <w:jc w:val="both"/>
        <w:rPr>
          <w:rFonts w:cs="Open Sans"/>
        </w:rPr>
      </w:pPr>
    </w:p>
    <w:p w14:paraId="32F2AA03" w14:textId="77777777" w:rsidR="00BF3CC6" w:rsidRPr="00007314" w:rsidRDefault="00BF3CC6" w:rsidP="002D21E8">
      <w:pPr>
        <w:pStyle w:val="Akapitzlist"/>
        <w:numPr>
          <w:ilvl w:val="1"/>
          <w:numId w:val="28"/>
        </w:numPr>
        <w:jc w:val="both"/>
        <w:rPr>
          <w:rFonts w:cs="Open Sans"/>
          <w:u w:val="single"/>
        </w:rPr>
      </w:pPr>
      <w:r w:rsidRPr="00007314">
        <w:rPr>
          <w:rFonts w:cs="Open Sans"/>
          <w:u w:val="single"/>
        </w:rPr>
        <w:t xml:space="preserve">Zadanie nr 3 – Ubezpieczenia odpowiedzialności cywilnej osób zarządzających spółką.  </w:t>
      </w:r>
    </w:p>
    <w:p w14:paraId="227116B9" w14:textId="77777777" w:rsidR="00BF3CC6" w:rsidRPr="00007314" w:rsidRDefault="00BF3CC6" w:rsidP="00BF3CC6">
      <w:pPr>
        <w:pStyle w:val="Akapitzlist"/>
        <w:tabs>
          <w:tab w:val="left" w:pos="1276"/>
        </w:tabs>
        <w:spacing w:after="0" w:line="276" w:lineRule="auto"/>
        <w:ind w:left="1080"/>
        <w:jc w:val="both"/>
        <w:rPr>
          <w:rFonts w:cs="Open Sans"/>
          <w:u w:val="single"/>
        </w:rPr>
      </w:pPr>
    </w:p>
    <w:p w14:paraId="678184AE" w14:textId="75C86DBA" w:rsidR="00847D0C" w:rsidRPr="00007314" w:rsidRDefault="005969A7" w:rsidP="002D21E8">
      <w:pPr>
        <w:pStyle w:val="Akapitzlist"/>
        <w:numPr>
          <w:ilvl w:val="0"/>
          <w:numId w:val="19"/>
        </w:numPr>
        <w:tabs>
          <w:tab w:val="left" w:pos="1276"/>
        </w:tabs>
        <w:spacing w:after="0" w:line="276" w:lineRule="auto"/>
        <w:ind w:left="993" w:hanging="284"/>
        <w:jc w:val="both"/>
        <w:rPr>
          <w:rFonts w:cs="Open Sans"/>
        </w:rPr>
      </w:pPr>
      <w:r w:rsidRPr="00007314">
        <w:rPr>
          <w:rFonts w:cs="Open Sans"/>
        </w:rPr>
        <w:lastRenderedPageBreak/>
        <w:t>Szczegółowy zakres zamówienia oraz warunki jego realiza</w:t>
      </w:r>
      <w:r w:rsidR="00AF612B" w:rsidRPr="00007314">
        <w:rPr>
          <w:rFonts w:cs="Open Sans"/>
        </w:rPr>
        <w:t>cji zostały określone w Opisie Przedmiotu Z</w:t>
      </w:r>
      <w:r w:rsidRPr="00007314">
        <w:rPr>
          <w:rFonts w:cs="Open Sans"/>
        </w:rPr>
        <w:t>amówienia</w:t>
      </w:r>
      <w:r w:rsidR="002F248D" w:rsidRPr="00007314">
        <w:rPr>
          <w:rFonts w:cs="Open Sans"/>
        </w:rPr>
        <w:t xml:space="preserve">, </w:t>
      </w:r>
      <w:r w:rsidRPr="001E512C">
        <w:rPr>
          <w:rFonts w:cs="Open Sans"/>
        </w:rPr>
        <w:t>stanowiącym</w:t>
      </w:r>
      <w:r w:rsidR="00A538FA" w:rsidRPr="001E512C">
        <w:rPr>
          <w:rFonts w:cs="Open Sans"/>
        </w:rPr>
        <w:t xml:space="preserve"> </w:t>
      </w:r>
      <w:r w:rsidR="00AF612B" w:rsidRPr="001E512C">
        <w:rPr>
          <w:rFonts w:cs="Open Sans"/>
        </w:rPr>
        <w:t xml:space="preserve">załącznik nr </w:t>
      </w:r>
      <w:r w:rsidR="00FF7C11" w:rsidRPr="001E512C">
        <w:rPr>
          <w:rFonts w:cs="Open Sans"/>
        </w:rPr>
        <w:t>4</w:t>
      </w:r>
      <w:r w:rsidR="00A538FA" w:rsidRPr="001E512C">
        <w:rPr>
          <w:rFonts w:cs="Open Sans"/>
        </w:rPr>
        <w:t xml:space="preserve"> do SIWZ oraz we Wzorze umowy, stanowiącym </w:t>
      </w:r>
      <w:r w:rsidR="00487695" w:rsidRPr="001E512C">
        <w:rPr>
          <w:rFonts w:cs="Open Sans"/>
        </w:rPr>
        <w:t xml:space="preserve">załącznik nr </w:t>
      </w:r>
      <w:r w:rsidR="00FF7C11" w:rsidRPr="001E512C">
        <w:rPr>
          <w:rFonts w:cs="Open Sans"/>
        </w:rPr>
        <w:t>5</w:t>
      </w:r>
      <w:r w:rsidR="00A538FA" w:rsidRPr="001E512C">
        <w:rPr>
          <w:rFonts w:cs="Open Sans"/>
        </w:rPr>
        <w:t xml:space="preserve"> do SIWZ</w:t>
      </w:r>
      <w:r w:rsidR="00072F2B" w:rsidRPr="001E512C">
        <w:rPr>
          <w:rFonts w:cs="Open Sans"/>
        </w:rPr>
        <w:t>.</w:t>
      </w:r>
    </w:p>
    <w:p w14:paraId="6ECC005E" w14:textId="77777777" w:rsidR="00751912" w:rsidRPr="00007314" w:rsidRDefault="00751912" w:rsidP="00751912">
      <w:pPr>
        <w:pStyle w:val="Akapitzlist"/>
        <w:spacing w:after="0" w:line="276" w:lineRule="auto"/>
        <w:ind w:left="993"/>
        <w:jc w:val="both"/>
        <w:rPr>
          <w:rFonts w:cs="Open Sans"/>
        </w:rPr>
      </w:pPr>
    </w:p>
    <w:p w14:paraId="23370B57" w14:textId="15E8148F" w:rsidR="00D3091E" w:rsidRPr="00007314" w:rsidRDefault="00D3091E" w:rsidP="002D21E8">
      <w:pPr>
        <w:pStyle w:val="Akapitzlist"/>
        <w:numPr>
          <w:ilvl w:val="0"/>
          <w:numId w:val="20"/>
        </w:numPr>
        <w:spacing w:after="0" w:line="276" w:lineRule="auto"/>
        <w:ind w:left="993" w:hanging="284"/>
        <w:jc w:val="both"/>
        <w:rPr>
          <w:rFonts w:cs="Open Sans"/>
        </w:rPr>
      </w:pPr>
      <w:r w:rsidRPr="00007314">
        <w:rPr>
          <w:rFonts w:cs="Open Sans"/>
        </w:rPr>
        <w:t>Wspólny Słownik Zamówień (CPV).</w:t>
      </w:r>
    </w:p>
    <w:p w14:paraId="2CA221FE" w14:textId="77777777" w:rsidR="005316FC" w:rsidRPr="00007314" w:rsidRDefault="005316FC" w:rsidP="005316FC">
      <w:pPr>
        <w:pStyle w:val="Akapitzlist"/>
        <w:spacing w:after="0" w:line="276" w:lineRule="auto"/>
        <w:ind w:left="993"/>
        <w:jc w:val="both"/>
        <w:rPr>
          <w:rFonts w:cs="Open Sans"/>
        </w:rPr>
      </w:pPr>
      <w:r w:rsidRPr="00007314">
        <w:rPr>
          <w:rFonts w:cs="Open Sans"/>
        </w:rPr>
        <w:t>Główny kod CPV:</w:t>
      </w:r>
    </w:p>
    <w:p w14:paraId="62FEE3BD" w14:textId="77777777" w:rsidR="005316FC" w:rsidRPr="00007314" w:rsidRDefault="005316FC" w:rsidP="005316FC">
      <w:pPr>
        <w:pStyle w:val="Akapitzlist"/>
        <w:spacing w:after="0" w:line="276" w:lineRule="auto"/>
        <w:ind w:left="1134" w:hanging="141"/>
        <w:jc w:val="both"/>
        <w:rPr>
          <w:rFonts w:cs="Open Sans"/>
        </w:rPr>
      </w:pPr>
      <w:r w:rsidRPr="00007314">
        <w:rPr>
          <w:rFonts w:cs="Open Sans"/>
        </w:rPr>
        <w:t>66510000-8</w:t>
      </w:r>
      <w:r w:rsidRPr="00007314">
        <w:rPr>
          <w:rFonts w:cs="Open Sans"/>
        </w:rPr>
        <w:tab/>
        <w:t xml:space="preserve"> usługi ubezpieczeniowe</w:t>
      </w:r>
    </w:p>
    <w:p w14:paraId="6773BB06" w14:textId="77777777" w:rsidR="005316FC" w:rsidRPr="00007314" w:rsidRDefault="005316FC" w:rsidP="005316FC">
      <w:pPr>
        <w:pStyle w:val="Akapitzlist"/>
        <w:spacing w:after="0" w:line="276" w:lineRule="auto"/>
        <w:ind w:left="1134" w:hanging="141"/>
        <w:jc w:val="both"/>
        <w:rPr>
          <w:rFonts w:cs="Open Sans"/>
        </w:rPr>
      </w:pPr>
      <w:r w:rsidRPr="00007314">
        <w:rPr>
          <w:rFonts w:cs="Open Sans"/>
        </w:rPr>
        <w:t>Dodatkowe kody CPV:</w:t>
      </w:r>
    </w:p>
    <w:p w14:paraId="5DDACE90" w14:textId="77777777" w:rsidR="005316FC" w:rsidRPr="00007314" w:rsidRDefault="005316FC" w:rsidP="005316FC">
      <w:pPr>
        <w:pStyle w:val="Akapitzlist"/>
        <w:spacing w:after="0" w:line="276" w:lineRule="auto"/>
        <w:ind w:left="1134" w:hanging="141"/>
        <w:jc w:val="both"/>
        <w:rPr>
          <w:rFonts w:cs="Open Sans"/>
        </w:rPr>
      </w:pPr>
      <w:r w:rsidRPr="00007314">
        <w:rPr>
          <w:rFonts w:cs="Open Sans"/>
        </w:rPr>
        <w:t>66515000-3</w:t>
      </w:r>
      <w:r w:rsidRPr="00007314">
        <w:rPr>
          <w:rFonts w:cs="Open Sans"/>
        </w:rPr>
        <w:tab/>
        <w:t>usługi ubezpieczenia od uszkodzenia lub utraty</w:t>
      </w:r>
    </w:p>
    <w:p w14:paraId="2E334E0B" w14:textId="77777777" w:rsidR="005316FC" w:rsidRPr="00007314" w:rsidRDefault="005316FC" w:rsidP="005316FC">
      <w:pPr>
        <w:pStyle w:val="Akapitzlist"/>
        <w:spacing w:after="0" w:line="276" w:lineRule="auto"/>
        <w:ind w:left="1134" w:hanging="141"/>
        <w:jc w:val="both"/>
        <w:rPr>
          <w:rFonts w:cs="Open Sans"/>
        </w:rPr>
      </w:pPr>
      <w:r w:rsidRPr="00007314">
        <w:rPr>
          <w:rFonts w:cs="Open Sans"/>
        </w:rPr>
        <w:t>66516000-0</w:t>
      </w:r>
      <w:r w:rsidRPr="00007314">
        <w:rPr>
          <w:rFonts w:cs="Open Sans"/>
        </w:rPr>
        <w:tab/>
        <w:t>usługi ubezpieczenia od odpowiedzialności cywilnej</w:t>
      </w:r>
    </w:p>
    <w:p w14:paraId="0145CCC6" w14:textId="77777777" w:rsidR="005316FC" w:rsidRPr="00007314" w:rsidRDefault="005316FC" w:rsidP="005316FC">
      <w:pPr>
        <w:pStyle w:val="Akapitzlist"/>
        <w:spacing w:after="0" w:line="276" w:lineRule="auto"/>
        <w:ind w:left="1134" w:hanging="141"/>
        <w:jc w:val="both"/>
        <w:rPr>
          <w:rFonts w:cs="Open Sans"/>
        </w:rPr>
      </w:pPr>
      <w:r w:rsidRPr="00007314">
        <w:rPr>
          <w:rFonts w:cs="Open Sans"/>
        </w:rPr>
        <w:t>66512100-3</w:t>
      </w:r>
      <w:r w:rsidRPr="00007314">
        <w:rPr>
          <w:rFonts w:cs="Open Sans"/>
        </w:rPr>
        <w:tab/>
        <w:t>usługi ubezpieczenia od następstw nieszczęśliwych wypadków</w:t>
      </w:r>
    </w:p>
    <w:p w14:paraId="6DCD740F" w14:textId="77777777" w:rsidR="005316FC" w:rsidRPr="00007314" w:rsidRDefault="005316FC" w:rsidP="005316FC">
      <w:pPr>
        <w:pStyle w:val="Akapitzlist"/>
        <w:spacing w:after="0" w:line="276" w:lineRule="auto"/>
        <w:ind w:left="1134" w:hanging="141"/>
        <w:jc w:val="both"/>
        <w:rPr>
          <w:rFonts w:cs="Open Sans"/>
        </w:rPr>
      </w:pPr>
      <w:r w:rsidRPr="00007314">
        <w:rPr>
          <w:rFonts w:cs="Open Sans"/>
        </w:rPr>
        <w:t>66514110-0</w:t>
      </w:r>
      <w:r w:rsidRPr="00007314">
        <w:rPr>
          <w:rFonts w:cs="Open Sans"/>
        </w:rPr>
        <w:tab/>
        <w:t>usługi ubezpieczeń pojazdów mechanicznych</w:t>
      </w:r>
    </w:p>
    <w:p w14:paraId="7DEA6320" w14:textId="77777777" w:rsidR="005316FC" w:rsidRPr="00007314" w:rsidRDefault="005316FC" w:rsidP="005316FC">
      <w:pPr>
        <w:pStyle w:val="Akapitzlist"/>
        <w:spacing w:after="0" w:line="276" w:lineRule="auto"/>
        <w:ind w:left="1134" w:hanging="141"/>
        <w:jc w:val="both"/>
        <w:rPr>
          <w:rFonts w:cs="Open Sans"/>
        </w:rPr>
      </w:pPr>
      <w:r w:rsidRPr="00007314">
        <w:rPr>
          <w:rFonts w:cs="Open Sans"/>
        </w:rPr>
        <w:t>66516100-1</w:t>
      </w:r>
      <w:r w:rsidRPr="00007314">
        <w:rPr>
          <w:rFonts w:cs="Open Sans"/>
        </w:rPr>
        <w:tab/>
        <w:t>usługi ubezpieczeń pojazdów mechanicznych od odpowiedzialności cywilnej</w:t>
      </w:r>
    </w:p>
    <w:p w14:paraId="03696C8C" w14:textId="77777777" w:rsidR="005316FC" w:rsidRPr="00007314" w:rsidRDefault="005316FC" w:rsidP="001E512C">
      <w:pPr>
        <w:pStyle w:val="Akapitzlist"/>
        <w:spacing w:after="0" w:line="276" w:lineRule="auto"/>
        <w:ind w:left="993"/>
        <w:jc w:val="both"/>
        <w:rPr>
          <w:rFonts w:cs="Open Sans"/>
        </w:rPr>
      </w:pPr>
    </w:p>
    <w:p w14:paraId="4AC22A93" w14:textId="0E988471" w:rsidR="005316FC" w:rsidRDefault="005316FC" w:rsidP="001E512C">
      <w:pPr>
        <w:pStyle w:val="Akapitzlist"/>
        <w:spacing w:after="0" w:line="276" w:lineRule="auto"/>
        <w:ind w:left="993"/>
        <w:jc w:val="both"/>
        <w:rPr>
          <w:rFonts w:cs="Open Sans"/>
        </w:rPr>
      </w:pPr>
    </w:p>
    <w:p w14:paraId="7B919DB3" w14:textId="49855CF5" w:rsidR="00442200" w:rsidRPr="00442200" w:rsidRDefault="00C71305" w:rsidP="00442200">
      <w:pPr>
        <w:pStyle w:val="Akapitzlist"/>
        <w:numPr>
          <w:ilvl w:val="0"/>
          <w:numId w:val="2"/>
        </w:numPr>
        <w:spacing w:after="0" w:line="276" w:lineRule="auto"/>
        <w:jc w:val="both"/>
        <w:rPr>
          <w:rFonts w:cs="Open Sans"/>
          <w:b/>
        </w:rPr>
      </w:pPr>
      <w:r w:rsidRPr="00007314">
        <w:rPr>
          <w:rFonts w:cs="Open Sans"/>
          <w:b/>
        </w:rPr>
        <w:t>TERMIN WYKONANIA ZAMÓWIENIA</w:t>
      </w:r>
    </w:p>
    <w:p w14:paraId="4F0DAAB8" w14:textId="7DB3903C" w:rsidR="00FE38E8" w:rsidRPr="001917A3" w:rsidRDefault="00EF072D" w:rsidP="00442200">
      <w:pPr>
        <w:suppressAutoHyphens/>
        <w:spacing w:after="0" w:line="276" w:lineRule="auto"/>
        <w:ind w:left="709"/>
        <w:jc w:val="both"/>
        <w:rPr>
          <w:rFonts w:cs="Open Sans"/>
        </w:rPr>
      </w:pPr>
      <w:r>
        <w:rPr>
          <w:rFonts w:cs="Open Sans"/>
        </w:rPr>
        <w:t xml:space="preserve">Termin wykonania Zamówienia, dla jego poszczególnych części, kształtuje się następująco: </w:t>
      </w:r>
    </w:p>
    <w:p w14:paraId="5A5B3B58" w14:textId="1ADD680D" w:rsidR="00D05697" w:rsidRPr="001917A3" w:rsidRDefault="00136C18" w:rsidP="00136C18">
      <w:pPr>
        <w:suppressAutoHyphens/>
        <w:spacing w:after="0" w:line="276" w:lineRule="auto"/>
        <w:ind w:left="709"/>
        <w:jc w:val="both"/>
        <w:rPr>
          <w:rFonts w:ascii="Open Sans" w:hAnsi="Open Sans" w:cs="Open Sans"/>
          <w:sz w:val="20"/>
          <w:szCs w:val="20"/>
        </w:rPr>
      </w:pPr>
      <w:r w:rsidRPr="001917A3">
        <w:rPr>
          <w:rFonts w:cs="Open Sans"/>
        </w:rPr>
        <w:t xml:space="preserve">Zadanie 1 </w:t>
      </w:r>
      <w:r w:rsidR="00215057">
        <w:rPr>
          <w:rFonts w:cs="Open Sans"/>
        </w:rPr>
        <w:t>-</w:t>
      </w:r>
      <w:r w:rsidR="00215057" w:rsidRPr="001917A3">
        <w:rPr>
          <w:rFonts w:cs="Open Sans"/>
        </w:rPr>
        <w:t xml:space="preserve"> </w:t>
      </w:r>
      <w:r w:rsidRPr="001917A3">
        <w:rPr>
          <w:rFonts w:cs="Open Sans"/>
        </w:rPr>
        <w:t xml:space="preserve">od </w:t>
      </w:r>
      <w:r w:rsidRPr="001917A3">
        <w:rPr>
          <w:rFonts w:ascii="Open Sans" w:hAnsi="Open Sans" w:cs="Open Sans"/>
          <w:sz w:val="20"/>
          <w:szCs w:val="20"/>
        </w:rPr>
        <w:t>01.03.2021 r. do 28.02.2022 r.</w:t>
      </w:r>
    </w:p>
    <w:p w14:paraId="4FDDFA3E" w14:textId="3AED6E59" w:rsidR="00136C18" w:rsidRPr="001917A3" w:rsidRDefault="00136C18" w:rsidP="00136C18">
      <w:pPr>
        <w:suppressAutoHyphens/>
        <w:spacing w:after="0" w:line="276" w:lineRule="auto"/>
        <w:ind w:left="709"/>
        <w:jc w:val="both"/>
        <w:rPr>
          <w:rFonts w:ascii="Open Sans" w:hAnsi="Open Sans" w:cs="Open Sans"/>
          <w:sz w:val="20"/>
          <w:szCs w:val="20"/>
        </w:rPr>
      </w:pPr>
      <w:r w:rsidRPr="001917A3">
        <w:rPr>
          <w:rFonts w:ascii="Open Sans" w:hAnsi="Open Sans" w:cs="Open Sans"/>
          <w:sz w:val="20"/>
          <w:szCs w:val="20"/>
        </w:rPr>
        <w:t xml:space="preserve">Zadanie 2 </w:t>
      </w:r>
      <w:r w:rsidR="00215057">
        <w:rPr>
          <w:rFonts w:ascii="Open Sans" w:hAnsi="Open Sans" w:cs="Open Sans"/>
          <w:sz w:val="20"/>
          <w:szCs w:val="20"/>
        </w:rPr>
        <w:t>-</w:t>
      </w:r>
      <w:r w:rsidR="00215057" w:rsidRPr="001917A3">
        <w:rPr>
          <w:rFonts w:ascii="Open Sans" w:hAnsi="Open Sans" w:cs="Open Sans"/>
          <w:sz w:val="20"/>
          <w:szCs w:val="20"/>
        </w:rPr>
        <w:t xml:space="preserve"> </w:t>
      </w:r>
      <w:r w:rsidRPr="001917A3">
        <w:rPr>
          <w:rFonts w:ascii="Open Sans" w:hAnsi="Open Sans" w:cs="Open Sans"/>
          <w:sz w:val="20"/>
          <w:szCs w:val="20"/>
        </w:rPr>
        <w:t>od 20.02.2021r. do 19.02.2022 r.</w:t>
      </w:r>
    </w:p>
    <w:p w14:paraId="5FAB58BF" w14:textId="41AF2BF1" w:rsidR="00136C18" w:rsidRPr="000D1EDF" w:rsidRDefault="00136C18" w:rsidP="001917A3">
      <w:pPr>
        <w:pStyle w:val="Akapitzlist"/>
        <w:spacing w:after="0" w:line="240" w:lineRule="auto"/>
        <w:ind w:left="360" w:firstLine="348"/>
        <w:jc w:val="both"/>
        <w:rPr>
          <w:rFonts w:ascii="Open Sans" w:hAnsi="Open Sans" w:cs="Open Sans"/>
          <w:sz w:val="20"/>
          <w:szCs w:val="20"/>
        </w:rPr>
      </w:pPr>
      <w:r w:rsidRPr="001917A3">
        <w:rPr>
          <w:rFonts w:ascii="Open Sans" w:hAnsi="Open Sans" w:cs="Open Sans"/>
          <w:sz w:val="20"/>
          <w:szCs w:val="20"/>
        </w:rPr>
        <w:t xml:space="preserve">Zadanie 3 </w:t>
      </w:r>
      <w:r w:rsidR="00215057">
        <w:rPr>
          <w:rFonts w:ascii="Open Sans" w:hAnsi="Open Sans" w:cs="Open Sans"/>
          <w:sz w:val="20"/>
          <w:szCs w:val="20"/>
        </w:rPr>
        <w:t>-</w:t>
      </w:r>
      <w:r w:rsidRPr="001917A3">
        <w:rPr>
          <w:rFonts w:ascii="Open Sans" w:hAnsi="Open Sans" w:cs="Open Sans"/>
          <w:sz w:val="20"/>
          <w:szCs w:val="20"/>
        </w:rPr>
        <w:t xml:space="preserve">  od 11.07.2021 r. do 10.07.2022 r.</w:t>
      </w:r>
    </w:p>
    <w:p w14:paraId="2785C3E5" w14:textId="4B78878E" w:rsidR="00136C18" w:rsidRPr="00136C18" w:rsidRDefault="00136C18" w:rsidP="00136C18">
      <w:pPr>
        <w:suppressAutoHyphens/>
        <w:spacing w:after="0" w:line="276" w:lineRule="auto"/>
        <w:ind w:left="709"/>
        <w:jc w:val="both"/>
        <w:rPr>
          <w:rFonts w:cs="Open Sans"/>
        </w:rPr>
      </w:pPr>
    </w:p>
    <w:p w14:paraId="4D21A23E" w14:textId="23C32608" w:rsidR="00442200" w:rsidRPr="00442200" w:rsidRDefault="00A44C86" w:rsidP="00442200">
      <w:pPr>
        <w:pStyle w:val="Akapitzlist"/>
        <w:numPr>
          <w:ilvl w:val="0"/>
          <w:numId w:val="2"/>
        </w:numPr>
        <w:spacing w:after="0" w:line="276" w:lineRule="auto"/>
        <w:jc w:val="both"/>
        <w:rPr>
          <w:rFonts w:cs="Open Sans"/>
          <w:b/>
        </w:rPr>
      </w:pPr>
      <w:r w:rsidRPr="00007314">
        <w:rPr>
          <w:rFonts w:cs="Open Sans"/>
          <w:b/>
        </w:rPr>
        <w:t>WARUNKI UDZIAŁU W POSTĘPOWANIU</w:t>
      </w:r>
    </w:p>
    <w:p w14:paraId="10DF41D9" w14:textId="66F10A41" w:rsidR="00605AD2" w:rsidRPr="00007314" w:rsidRDefault="00751912" w:rsidP="00442200">
      <w:pPr>
        <w:pStyle w:val="Akapitzlist"/>
        <w:numPr>
          <w:ilvl w:val="0"/>
          <w:numId w:val="30"/>
        </w:numPr>
        <w:spacing w:after="0" w:line="276" w:lineRule="auto"/>
        <w:jc w:val="both"/>
        <w:rPr>
          <w:rFonts w:cs="Open Sans"/>
        </w:rPr>
      </w:pPr>
      <w:r w:rsidRPr="00007314">
        <w:rPr>
          <w:rFonts w:cs="Open Sans"/>
        </w:rPr>
        <w:t xml:space="preserve">O </w:t>
      </w:r>
      <w:r w:rsidR="00EA4924" w:rsidRPr="00007314">
        <w:rPr>
          <w:rFonts w:cs="Open Sans"/>
        </w:rPr>
        <w:t xml:space="preserve">udzielenie zamówienia mogą ubiegać się </w:t>
      </w:r>
      <w:r w:rsidR="003C097B" w:rsidRPr="00007314">
        <w:rPr>
          <w:rFonts w:cs="Open Sans"/>
        </w:rPr>
        <w:t>W</w:t>
      </w:r>
      <w:r w:rsidR="00EA4924" w:rsidRPr="00007314">
        <w:rPr>
          <w:rFonts w:cs="Open Sans"/>
        </w:rPr>
        <w:t xml:space="preserve">ykonawcy, </w:t>
      </w:r>
      <w:r w:rsidR="000B6DA9" w:rsidRPr="00007314">
        <w:rPr>
          <w:rFonts w:cs="Open Sans"/>
        </w:rPr>
        <w:t xml:space="preserve">którzy </w:t>
      </w:r>
      <w:r w:rsidR="003B5441" w:rsidRPr="00007314">
        <w:rPr>
          <w:rFonts w:cs="Open Sans"/>
        </w:rPr>
        <w:t xml:space="preserve">posiadają </w:t>
      </w:r>
      <w:r w:rsidR="00605AD2" w:rsidRPr="00007314">
        <w:rPr>
          <w:rFonts w:cs="Open Sans"/>
        </w:rPr>
        <w:t>zezwolenie właściwego organu na prowadzenie działalności ubezpieczeniowej w zakresie tożsamym z przedmiotem zamówienia, lub gdy zezwolenie nie jest wymagane na podstawie odrębnych przepisów:</w:t>
      </w:r>
    </w:p>
    <w:p w14:paraId="5FEDD981" w14:textId="77777777" w:rsidR="00605AD2" w:rsidRPr="00007314" w:rsidRDefault="00605AD2" w:rsidP="00442200">
      <w:pPr>
        <w:pStyle w:val="Akapitzlist"/>
        <w:numPr>
          <w:ilvl w:val="2"/>
          <w:numId w:val="30"/>
        </w:numPr>
        <w:spacing w:after="0" w:line="276" w:lineRule="auto"/>
        <w:jc w:val="both"/>
        <w:rPr>
          <w:rFonts w:cs="Open Sans"/>
        </w:rPr>
      </w:pPr>
      <w:r w:rsidRPr="00007314">
        <w:rPr>
          <w:rFonts w:cs="Open Sans"/>
        </w:rPr>
        <w:t>zaświadczenie właściwego organu nadzoru, że Wykonawca prowadzi działalność ubezpieczeniową w wymaganym zakresie, lub</w:t>
      </w:r>
    </w:p>
    <w:p w14:paraId="4EE159DB" w14:textId="32C6C5D9" w:rsidR="00D05697" w:rsidRDefault="00605AD2" w:rsidP="00442200">
      <w:pPr>
        <w:pStyle w:val="Akapitzlist"/>
        <w:numPr>
          <w:ilvl w:val="2"/>
          <w:numId w:val="30"/>
        </w:numPr>
        <w:spacing w:after="0" w:line="276" w:lineRule="auto"/>
        <w:jc w:val="both"/>
        <w:rPr>
          <w:rFonts w:cs="Open Sans"/>
        </w:rPr>
      </w:pPr>
      <w:r w:rsidRPr="00007314">
        <w:rPr>
          <w:rFonts w:cs="Open Sans"/>
        </w:rPr>
        <w:t>oświadczenie organu uprawnionego do reprezentowania Wykonawcy, że prowadzi on działalność ubezpieczeniową w wymaganym zakresie i nie jest konieczne posiadanie przez niego zezwolenia, wraz z przytoczeniem podstawy prawnej.</w:t>
      </w:r>
    </w:p>
    <w:p w14:paraId="0EA0F106" w14:textId="77777777" w:rsidR="00442200" w:rsidRPr="007D22BC" w:rsidRDefault="00442200" w:rsidP="00442200">
      <w:pPr>
        <w:pStyle w:val="Akapitzlist"/>
        <w:spacing w:after="0" w:line="276" w:lineRule="auto"/>
        <w:ind w:left="1440"/>
        <w:jc w:val="both"/>
        <w:rPr>
          <w:rFonts w:cs="Open Sans"/>
        </w:rPr>
      </w:pPr>
    </w:p>
    <w:p w14:paraId="614A41A7" w14:textId="5C9732B8" w:rsidR="00442200" w:rsidRPr="00442200" w:rsidRDefault="00A44C86" w:rsidP="00442200">
      <w:pPr>
        <w:pStyle w:val="Akapitzlist"/>
        <w:numPr>
          <w:ilvl w:val="0"/>
          <w:numId w:val="2"/>
        </w:numPr>
        <w:spacing w:after="0" w:line="276" w:lineRule="auto"/>
        <w:jc w:val="both"/>
        <w:rPr>
          <w:rFonts w:cs="Open Sans"/>
          <w:b/>
          <w:bCs/>
        </w:rPr>
      </w:pPr>
      <w:r w:rsidRPr="00007314">
        <w:rPr>
          <w:rFonts w:cs="Open Sans"/>
          <w:b/>
        </w:rPr>
        <w:t xml:space="preserve">PODSTAWY WYKLUCZENIA, </w:t>
      </w:r>
      <w:r w:rsidRPr="00007314">
        <w:rPr>
          <w:rFonts w:cs="Open Sans"/>
          <w:b/>
          <w:bCs/>
        </w:rPr>
        <w:t>O KTÓRYCH MOWA W ART. 24 UST. 5 USTAWY PZP</w:t>
      </w:r>
    </w:p>
    <w:p w14:paraId="79F2159B" w14:textId="77777777" w:rsidR="00A467CD" w:rsidRPr="00007314" w:rsidRDefault="00A467CD" w:rsidP="00CF2FDA">
      <w:pPr>
        <w:spacing w:after="0" w:line="276" w:lineRule="auto"/>
        <w:ind w:left="567"/>
        <w:rPr>
          <w:rFonts w:cs="Open Sans"/>
          <w:bCs/>
        </w:rPr>
      </w:pPr>
      <w:r w:rsidRPr="00007314">
        <w:rPr>
          <w:rFonts w:cs="Open Sans"/>
          <w:bCs/>
        </w:rPr>
        <w:t>Oprócz wykluczenia Wykonawców w okolicznościach określonych w art. 24 ust. 1 ustawy Pzp, Zamawiający przewiduje wykluczenie Wykonawcy na podstawie:</w:t>
      </w:r>
    </w:p>
    <w:p w14:paraId="5733E194" w14:textId="77777777" w:rsidR="00A467CD" w:rsidRPr="00007314" w:rsidRDefault="00A467CD" w:rsidP="002D21E8">
      <w:pPr>
        <w:pStyle w:val="Akapitzlist"/>
        <w:numPr>
          <w:ilvl w:val="0"/>
          <w:numId w:val="14"/>
        </w:numPr>
        <w:spacing w:after="0" w:line="276" w:lineRule="auto"/>
        <w:ind w:left="1134" w:hanging="283"/>
        <w:jc w:val="both"/>
        <w:rPr>
          <w:rFonts w:cs="Open Sans"/>
          <w:bCs/>
        </w:rPr>
      </w:pPr>
      <w:r w:rsidRPr="00007314">
        <w:rPr>
          <w:rFonts w:cs="Open Sans"/>
          <w:bCs/>
        </w:rPr>
        <w:t xml:space="preserve">art. 24 ust. 5 pkt 1) ustawy Pzp, tj. wykluczenie Wykonawcy, </w:t>
      </w:r>
      <w:r w:rsidR="009317BF" w:rsidRPr="00007314">
        <w:rPr>
          <w:rFonts w:cs="Open Sans"/>
          <w:bC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2016 r. poz. 1574, 1579, 1948 i 2260) lub którego upadłość ogłoszono, z wyjątkiem </w:t>
      </w:r>
      <w:r w:rsidR="003C097B" w:rsidRPr="00007314">
        <w:rPr>
          <w:rFonts w:cs="Open Sans"/>
          <w:bCs/>
        </w:rPr>
        <w:t>W</w:t>
      </w:r>
      <w:r w:rsidR="009317BF" w:rsidRPr="00007314">
        <w:rPr>
          <w:rFonts w:cs="Open Sans"/>
          <w:bCs/>
        </w:rPr>
        <w:t xml:space="preserve">ykonawcy, który po ogłoszeniu upadłości zawarł układ zatwierdzony </w:t>
      </w:r>
      <w:r w:rsidR="009317BF" w:rsidRPr="00007314">
        <w:rPr>
          <w:rFonts w:cs="Open Sans"/>
          <w:bCs/>
        </w:rPr>
        <w:lastRenderedPageBreak/>
        <w:t>prawomocnym postanowieniem sądu, jeżeli układ nie przewiduje zaspokojenia wierzycieli przez likwidację majątku upadłego, chyba że sąd zarządził likwidację jego majątku w trybie art. 366 ust. 1 ustawy z dnia 28 lutego 2003 r. - Prawo upadłościowe (Dz.U. z 2016 r. poz. 2171, 2260 i 2261 oraz z 2017 r. poz. 791);</w:t>
      </w:r>
    </w:p>
    <w:p w14:paraId="7C61D7C8" w14:textId="77777777" w:rsidR="00A467CD" w:rsidRPr="00007314" w:rsidRDefault="00A467CD" w:rsidP="002D21E8">
      <w:pPr>
        <w:pStyle w:val="Akapitzlist"/>
        <w:numPr>
          <w:ilvl w:val="0"/>
          <w:numId w:val="14"/>
        </w:numPr>
        <w:spacing w:after="0" w:line="276" w:lineRule="auto"/>
        <w:ind w:left="993" w:hanging="284"/>
        <w:jc w:val="both"/>
        <w:rPr>
          <w:rFonts w:cs="Open Sans"/>
          <w:bCs/>
        </w:rPr>
      </w:pPr>
      <w:r w:rsidRPr="00007314">
        <w:rPr>
          <w:rFonts w:cs="Open Sans"/>
          <w:bCs/>
        </w:rPr>
        <w:t xml:space="preserve">art. 24 ust. 5 pkt 8) ustawy Pzp, tj. wykluczenie Wykonawcy, który naruszył obowiązki dotyczące płatności podatków, opłat lub składek na ubezpieczenia społeczne lub zdrowotne, co </w:t>
      </w:r>
      <w:r w:rsidR="00136954" w:rsidRPr="00007314">
        <w:rPr>
          <w:rFonts w:cs="Open Sans"/>
          <w:bCs/>
        </w:rPr>
        <w:t>Z</w:t>
      </w:r>
      <w:r w:rsidRPr="00007314">
        <w:rPr>
          <w:rFonts w:cs="Open Sans"/>
          <w:bCs/>
        </w:rPr>
        <w:t xml:space="preserve">amawiający jest w stanie wykazać za pomocą stosownych środków dowodowych, z wyjątkiem przypadku, o którym mowa w art. 24 ust. 1 pkt 15) ustawy Pzp, chyba że </w:t>
      </w:r>
      <w:r w:rsidR="003C097B" w:rsidRPr="00007314">
        <w:rPr>
          <w:rFonts w:cs="Open Sans"/>
          <w:bCs/>
        </w:rPr>
        <w:t>W</w:t>
      </w:r>
      <w:r w:rsidRPr="00007314">
        <w:rPr>
          <w:rFonts w:cs="Open Sans"/>
          <w:bCs/>
        </w:rPr>
        <w:t>ykonawca dokonał płatności należnych podatków, opłat lub składek na ubezpieczenia społeczne lub zdrowotne wraz z odsetkami lub grzywnami lub zawarł wiążące porozumienie w sprawie spłaty tych należności</w:t>
      </w:r>
      <w:r w:rsidR="006E1408" w:rsidRPr="00007314">
        <w:rPr>
          <w:rFonts w:cs="Open Sans"/>
          <w:bCs/>
        </w:rPr>
        <w:t>.</w:t>
      </w:r>
    </w:p>
    <w:p w14:paraId="50A01EDF" w14:textId="77777777" w:rsidR="00F36AFB" w:rsidRPr="00007314" w:rsidRDefault="00F36AFB" w:rsidP="008E10E9">
      <w:pPr>
        <w:spacing w:after="0" w:line="276" w:lineRule="auto"/>
        <w:jc w:val="both"/>
        <w:rPr>
          <w:rFonts w:cs="Open Sans"/>
        </w:rPr>
      </w:pPr>
    </w:p>
    <w:p w14:paraId="1095774C" w14:textId="161A1BAC" w:rsidR="00442200" w:rsidRPr="00442200" w:rsidRDefault="00A538FA" w:rsidP="00442200">
      <w:pPr>
        <w:numPr>
          <w:ilvl w:val="0"/>
          <w:numId w:val="2"/>
        </w:numPr>
        <w:spacing w:after="0" w:line="276" w:lineRule="auto"/>
        <w:jc w:val="both"/>
        <w:rPr>
          <w:rFonts w:cs="Open Sans"/>
          <w:b/>
          <w:bCs/>
        </w:rPr>
      </w:pPr>
      <w:r w:rsidRPr="00007314">
        <w:rPr>
          <w:rFonts w:cs="Open Sans"/>
          <w:b/>
          <w:bCs/>
        </w:rPr>
        <w:t>WYKAZ</w:t>
      </w:r>
      <w:r w:rsidRPr="00007314">
        <w:rPr>
          <w:rFonts w:cs="Open Sans"/>
          <w:b/>
        </w:rPr>
        <w:t xml:space="preserve"> </w:t>
      </w:r>
      <w:r w:rsidRPr="00007314">
        <w:rPr>
          <w:rFonts w:cs="Open Sans"/>
          <w:b/>
          <w:bCs/>
        </w:rPr>
        <w:t>OŚWIADCZEŃ LUB DOKUMENTÓW, POTWIERDZAJĄCYCH SPEŁNIANIE WARUNKÓW UDZIAŁU W POSTĘPOWANIU ORAZ BRAK PODSTAW WYKLUCZENIA</w:t>
      </w:r>
    </w:p>
    <w:p w14:paraId="397654F5" w14:textId="1FD5A2C2" w:rsidR="00E90B92" w:rsidRPr="00442200" w:rsidRDefault="008F4D07" w:rsidP="00442200">
      <w:pPr>
        <w:numPr>
          <w:ilvl w:val="0"/>
          <w:numId w:val="7"/>
        </w:numPr>
        <w:spacing w:after="0" w:line="276" w:lineRule="auto"/>
        <w:ind w:left="993" w:hanging="426"/>
        <w:jc w:val="both"/>
        <w:rPr>
          <w:rFonts w:cs="Open Sans"/>
        </w:rPr>
      </w:pPr>
      <w:r w:rsidRPr="00007314">
        <w:rPr>
          <w:rFonts w:cs="Open Sans"/>
          <w:b/>
        </w:rPr>
        <w:t xml:space="preserve">Wykaz oświadczeń w celu wstępnego potwierdzenia, że </w:t>
      </w:r>
      <w:r w:rsidR="003C097B" w:rsidRPr="00007314">
        <w:rPr>
          <w:rFonts w:cs="Open Sans"/>
          <w:b/>
        </w:rPr>
        <w:t>W</w:t>
      </w:r>
      <w:r w:rsidRPr="00007314">
        <w:rPr>
          <w:rFonts w:cs="Open Sans"/>
          <w:b/>
        </w:rPr>
        <w:t>ykonawca nie podlega wykluczeniu oraz spełnia warunki udziału w postępowaniu</w:t>
      </w:r>
      <w:r w:rsidRPr="00007314">
        <w:rPr>
          <w:rFonts w:cs="Open Sans"/>
        </w:rPr>
        <w:t xml:space="preserve">: </w:t>
      </w:r>
    </w:p>
    <w:p w14:paraId="0BA601AA" w14:textId="77777777" w:rsidR="008F4D07" w:rsidRPr="00007314" w:rsidRDefault="008F4D07" w:rsidP="00CF2FDA">
      <w:pPr>
        <w:spacing w:after="0" w:line="276" w:lineRule="auto"/>
        <w:ind w:left="993"/>
        <w:jc w:val="both"/>
        <w:rPr>
          <w:rFonts w:cs="Open Sans"/>
        </w:rPr>
      </w:pPr>
      <w:r w:rsidRPr="00007314">
        <w:rPr>
          <w:rFonts w:cs="Open Sans"/>
        </w:rPr>
        <w:t xml:space="preserve">Do oferty Wykonawca dołącza </w:t>
      </w:r>
      <w:r w:rsidRPr="00D76897">
        <w:rPr>
          <w:rFonts w:cs="Open Sans"/>
        </w:rPr>
        <w:t>aktualne na dzień składania ofert oświadczenie</w:t>
      </w:r>
      <w:r w:rsidR="006E1408" w:rsidRPr="00D76897">
        <w:rPr>
          <w:rFonts w:cs="Open Sans"/>
        </w:rPr>
        <w:t xml:space="preserve"> </w:t>
      </w:r>
      <w:r w:rsidRPr="00D76897">
        <w:rPr>
          <w:rFonts w:cs="Open Sans"/>
        </w:rPr>
        <w:t>o niepodleganiu wykluczeniu oraz spełnianiu warunków udziału w postępowaniu –</w:t>
      </w:r>
      <w:r w:rsidR="009317BF" w:rsidRPr="00D76897">
        <w:rPr>
          <w:rFonts w:cs="Open Sans"/>
        </w:rPr>
        <w:t xml:space="preserve"> wzór oświadczenia stanowi</w:t>
      </w:r>
      <w:r w:rsidRPr="00D76897">
        <w:rPr>
          <w:rFonts w:cs="Open Sans"/>
        </w:rPr>
        <w:t xml:space="preserve"> Załącznik nr 2 do SIWZ.</w:t>
      </w:r>
      <w:r w:rsidRPr="00007314">
        <w:rPr>
          <w:rFonts w:cs="Open Sans"/>
        </w:rPr>
        <w:t xml:space="preserve"> </w:t>
      </w:r>
    </w:p>
    <w:p w14:paraId="7A9A953F" w14:textId="77777777" w:rsidR="00E90B92" w:rsidRPr="00007314" w:rsidRDefault="00E90B92" w:rsidP="00CF2FDA">
      <w:pPr>
        <w:spacing w:after="0" w:line="276" w:lineRule="auto"/>
        <w:ind w:left="993"/>
        <w:jc w:val="both"/>
        <w:rPr>
          <w:rFonts w:cs="Open Sans"/>
        </w:rPr>
      </w:pPr>
    </w:p>
    <w:p w14:paraId="526C2FFC" w14:textId="33934F56" w:rsidR="00E90B92" w:rsidRPr="00442200" w:rsidRDefault="008F4D07" w:rsidP="001E512C">
      <w:pPr>
        <w:numPr>
          <w:ilvl w:val="0"/>
          <w:numId w:val="7"/>
        </w:numPr>
        <w:spacing w:after="0" w:line="276" w:lineRule="auto"/>
        <w:ind w:left="993" w:hanging="426"/>
        <w:jc w:val="both"/>
        <w:rPr>
          <w:rFonts w:cs="Open Sans"/>
          <w:b/>
        </w:rPr>
      </w:pPr>
      <w:r w:rsidRPr="00007314">
        <w:rPr>
          <w:rFonts w:cs="Open Sans"/>
          <w:b/>
        </w:rPr>
        <w:t xml:space="preserve">Wykaz dokumentów i oświadczeń, które </w:t>
      </w:r>
      <w:r w:rsidR="003C097B" w:rsidRPr="00007314">
        <w:rPr>
          <w:rFonts w:cs="Open Sans"/>
          <w:b/>
        </w:rPr>
        <w:t>W</w:t>
      </w:r>
      <w:r w:rsidRPr="00007314">
        <w:rPr>
          <w:rFonts w:cs="Open Sans"/>
          <w:b/>
        </w:rPr>
        <w:t>ykonawca składa w postępowaniu na wezwanie Zamawiającego na potwierdzenie okoliczności, o których mowa w art. 25 ust. 1 pkt 3 ustawy Pzp</w:t>
      </w:r>
      <w:r w:rsidR="00A44C86" w:rsidRPr="00007314">
        <w:rPr>
          <w:rFonts w:cs="Open Sans"/>
          <w:b/>
        </w:rPr>
        <w:t>:</w:t>
      </w:r>
    </w:p>
    <w:p w14:paraId="283F62D1" w14:textId="1817B2D3" w:rsidR="00E90B92" w:rsidRPr="00442200" w:rsidRDefault="008F4D07" w:rsidP="00442200">
      <w:pPr>
        <w:pStyle w:val="Kolorowalistaakcent11"/>
        <w:widowControl w:val="0"/>
        <w:numPr>
          <w:ilvl w:val="0"/>
          <w:numId w:val="8"/>
        </w:numPr>
        <w:suppressAutoHyphens/>
        <w:spacing w:before="0" w:after="0" w:line="276" w:lineRule="auto"/>
        <w:contextualSpacing/>
        <w:rPr>
          <w:rFonts w:asciiTheme="minorHAnsi" w:hAnsiTheme="minorHAnsi" w:cs="Open Sans"/>
        </w:rPr>
      </w:pPr>
      <w:r w:rsidRPr="00007314">
        <w:rPr>
          <w:rFonts w:asciiTheme="minorHAnsi" w:hAnsiTheme="minorHAnsi" w:cs="Open Sans"/>
        </w:rPr>
        <w:t xml:space="preserve">W celu potwierdzenia </w:t>
      </w:r>
      <w:r w:rsidRPr="00007314">
        <w:rPr>
          <w:rFonts w:asciiTheme="minorHAnsi" w:hAnsiTheme="minorHAnsi" w:cs="Open Sans"/>
          <w:b/>
        </w:rPr>
        <w:t>braku podstaw wykluczenia</w:t>
      </w:r>
      <w:r w:rsidRPr="00007314">
        <w:rPr>
          <w:rFonts w:asciiTheme="minorHAnsi" w:hAnsiTheme="minorHAnsi" w:cs="Open Sans"/>
        </w:rPr>
        <w:t xml:space="preserve"> </w:t>
      </w:r>
      <w:r w:rsidR="003C097B" w:rsidRPr="00007314">
        <w:rPr>
          <w:rFonts w:asciiTheme="minorHAnsi" w:hAnsiTheme="minorHAnsi" w:cs="Open Sans"/>
        </w:rPr>
        <w:t>W</w:t>
      </w:r>
      <w:r w:rsidRPr="00007314">
        <w:rPr>
          <w:rFonts w:asciiTheme="minorHAnsi" w:hAnsiTheme="minorHAnsi" w:cs="Open Sans"/>
        </w:rPr>
        <w:t>ykonawcy z udziału w postępowaniu Zamawiający żąda następujących dokumentów:</w:t>
      </w:r>
    </w:p>
    <w:p w14:paraId="35AC96EE" w14:textId="77777777" w:rsidR="008F4D07" w:rsidRPr="00007314" w:rsidRDefault="008F4D07" w:rsidP="002D21E8">
      <w:pPr>
        <w:widowControl w:val="0"/>
        <w:numPr>
          <w:ilvl w:val="1"/>
          <w:numId w:val="8"/>
        </w:numPr>
        <w:suppressAutoHyphens/>
        <w:spacing w:after="0" w:line="276" w:lineRule="auto"/>
        <w:ind w:left="1701" w:hanging="283"/>
        <w:jc w:val="both"/>
        <w:rPr>
          <w:rFonts w:cs="Open Sans"/>
        </w:rPr>
      </w:pPr>
      <w:r w:rsidRPr="00007314">
        <w:rPr>
          <w:rFonts w:cs="Open Sans"/>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29818AC8" w14:textId="6D24241E" w:rsidR="00E90B92" w:rsidRPr="00200E91" w:rsidRDefault="008F4D07" w:rsidP="001E512C">
      <w:pPr>
        <w:widowControl w:val="0"/>
        <w:numPr>
          <w:ilvl w:val="1"/>
          <w:numId w:val="8"/>
        </w:numPr>
        <w:suppressAutoHyphens/>
        <w:spacing w:after="0" w:line="276" w:lineRule="auto"/>
        <w:ind w:left="1701" w:hanging="283"/>
        <w:jc w:val="both"/>
        <w:rPr>
          <w:rFonts w:cs="Open Sans"/>
        </w:rPr>
      </w:pPr>
      <w:r w:rsidRPr="00007314">
        <w:rPr>
          <w:rFonts w:cs="Open Sans"/>
        </w:rPr>
        <w:t>oświadczenia Wykonawcy o przynależności albo braku przynależności do tej samej grupy kapitałowej</w:t>
      </w:r>
      <w:r w:rsidR="009317BF" w:rsidRPr="00007314">
        <w:rPr>
          <w:rFonts w:cs="Open Sans"/>
        </w:rPr>
        <w:t>;</w:t>
      </w:r>
      <w:r w:rsidRPr="00007314">
        <w:rPr>
          <w:rFonts w:cs="Open Sans"/>
        </w:rPr>
        <w:t xml:space="preserve"> w przypadku przynależności do tej samej grupy kapitałowej </w:t>
      </w:r>
      <w:r w:rsidR="004407A2" w:rsidRPr="00007314">
        <w:rPr>
          <w:rFonts w:cs="Open Sans"/>
        </w:rPr>
        <w:t>W</w:t>
      </w:r>
      <w:r w:rsidRPr="00007314">
        <w:rPr>
          <w:rFonts w:cs="Open Sans"/>
        </w:rPr>
        <w:t>ykonawca może złożyć wraz z oświadczeniem dokumenty bądź informacje potwierdzające, że powiązania z innym Wykonawcą nie prowadzą do zakłócenia konkurencji w postępowaniu.</w:t>
      </w:r>
    </w:p>
    <w:p w14:paraId="6350DEBD" w14:textId="1E8A8D42" w:rsidR="00E90B92" w:rsidRPr="00200E91" w:rsidRDefault="008F4D07" w:rsidP="001E512C">
      <w:pPr>
        <w:pStyle w:val="Wypunktowanie2"/>
        <w:numPr>
          <w:ilvl w:val="0"/>
          <w:numId w:val="8"/>
        </w:numPr>
        <w:suppressAutoHyphens/>
        <w:spacing w:line="276" w:lineRule="auto"/>
        <w:contextualSpacing/>
        <w:jc w:val="both"/>
        <w:rPr>
          <w:rFonts w:cs="Open Sans"/>
        </w:rPr>
      </w:pPr>
      <w:r w:rsidRPr="00007314">
        <w:rPr>
          <w:rFonts w:asciiTheme="minorHAnsi" w:eastAsia="Calibri" w:hAnsiTheme="minorHAnsi" w:cs="Open Sans"/>
          <w:sz w:val="22"/>
          <w:szCs w:val="22"/>
        </w:rPr>
        <w:t xml:space="preserve">Jeżeli Wykonawca ma siedzibę lub miejsce zamieszkania poza terytorium Rzeczypospolitej Polskiej, zamiast dokumentów, o których mowa w punkcie VII.2.1) lit. a) – składa dokument lub dokumenty wystawione w kraju, w którym </w:t>
      </w:r>
      <w:r w:rsidR="004407A2" w:rsidRPr="00007314">
        <w:rPr>
          <w:rFonts w:asciiTheme="minorHAnsi" w:eastAsia="Calibri" w:hAnsiTheme="minorHAnsi" w:cs="Open Sans"/>
          <w:sz w:val="22"/>
          <w:szCs w:val="22"/>
        </w:rPr>
        <w:t>W</w:t>
      </w:r>
      <w:r w:rsidRPr="00007314">
        <w:rPr>
          <w:rFonts w:asciiTheme="minorHAnsi" w:eastAsia="Calibri" w:hAnsiTheme="minorHAnsi" w:cs="Open Sans"/>
          <w:sz w:val="22"/>
          <w:szCs w:val="22"/>
        </w:rPr>
        <w:t>ykonawca ma siedzibę lub miejsce zamieszkania, potwierdzające odpowiednio, że</w:t>
      </w:r>
      <w:r w:rsidR="00D96513" w:rsidRPr="00007314">
        <w:rPr>
          <w:rFonts w:asciiTheme="minorHAnsi" w:eastAsia="Calibri" w:hAnsiTheme="minorHAnsi" w:cs="Open Sans"/>
          <w:sz w:val="22"/>
          <w:szCs w:val="22"/>
        </w:rPr>
        <w:t xml:space="preserve"> </w:t>
      </w:r>
      <w:r w:rsidRPr="007D22BC">
        <w:rPr>
          <w:rFonts w:asciiTheme="minorHAnsi" w:hAnsiTheme="minorHAnsi"/>
          <w:sz w:val="22"/>
          <w:szCs w:val="22"/>
        </w:rPr>
        <w:t>nie otwarto jego likwidacji ani nie ogłoszono upadłości.</w:t>
      </w:r>
    </w:p>
    <w:p w14:paraId="67C495DE" w14:textId="4459E848" w:rsidR="00E90B92" w:rsidRPr="00200E91" w:rsidRDefault="008F4D07" w:rsidP="001E512C">
      <w:pPr>
        <w:pStyle w:val="Wypunktowanie2"/>
        <w:numPr>
          <w:ilvl w:val="0"/>
          <w:numId w:val="8"/>
        </w:numPr>
        <w:suppressAutoHyphens/>
        <w:spacing w:line="276" w:lineRule="auto"/>
        <w:ind w:left="1366" w:hanging="357"/>
        <w:jc w:val="both"/>
        <w:rPr>
          <w:rFonts w:asciiTheme="minorHAnsi" w:eastAsia="Calibri" w:hAnsiTheme="minorHAnsi" w:cs="Open Sans"/>
          <w:sz w:val="22"/>
          <w:szCs w:val="22"/>
        </w:rPr>
      </w:pPr>
      <w:r w:rsidRPr="00007314">
        <w:rPr>
          <w:rFonts w:asciiTheme="minorHAnsi" w:eastAsia="Calibri" w:hAnsiTheme="minorHAnsi" w:cs="Open Sans"/>
          <w:sz w:val="22"/>
          <w:szCs w:val="22"/>
        </w:rPr>
        <w:t>Dokumenty, o których mowa w punkcie VII.2.2) powinny być wystawione nie wcześniej niż 6 miesięcy przed upływem terminu składania ofert</w:t>
      </w:r>
      <w:r w:rsidR="00E90B92" w:rsidRPr="00007314">
        <w:rPr>
          <w:rFonts w:asciiTheme="minorHAnsi" w:eastAsia="Calibri" w:hAnsiTheme="minorHAnsi" w:cs="Open Sans"/>
          <w:sz w:val="22"/>
          <w:szCs w:val="22"/>
        </w:rPr>
        <w:t>.</w:t>
      </w:r>
      <w:r w:rsidRPr="00007314">
        <w:rPr>
          <w:rFonts w:asciiTheme="minorHAnsi" w:eastAsia="Calibri" w:hAnsiTheme="minorHAnsi" w:cs="Open Sans"/>
          <w:sz w:val="22"/>
          <w:szCs w:val="22"/>
        </w:rPr>
        <w:t xml:space="preserve"> </w:t>
      </w:r>
    </w:p>
    <w:p w14:paraId="2227BDB0" w14:textId="1FA7BC56" w:rsidR="00C27231" w:rsidRPr="00442200" w:rsidRDefault="008F4D07" w:rsidP="00442200">
      <w:pPr>
        <w:pStyle w:val="Wypunktowanie2"/>
        <w:numPr>
          <w:ilvl w:val="0"/>
          <w:numId w:val="8"/>
        </w:numPr>
        <w:suppressAutoHyphens/>
        <w:spacing w:line="276" w:lineRule="auto"/>
        <w:ind w:left="1366" w:hanging="357"/>
        <w:jc w:val="both"/>
        <w:rPr>
          <w:rFonts w:asciiTheme="minorHAnsi" w:eastAsia="Calibri" w:hAnsiTheme="minorHAnsi" w:cs="Open Sans"/>
          <w:sz w:val="22"/>
          <w:szCs w:val="22"/>
        </w:rPr>
      </w:pPr>
      <w:r w:rsidRPr="00007314">
        <w:rPr>
          <w:rFonts w:asciiTheme="minorHAnsi" w:eastAsia="Calibri" w:hAnsiTheme="minorHAnsi" w:cs="Open Sans"/>
          <w:sz w:val="22"/>
          <w:szCs w:val="22"/>
        </w:rPr>
        <w:t xml:space="preserve">Jeżeli w kraju, w którym Wykonawca ma siedzibę lub miejsce zamieszkania lub miejsce zamieszkania ma osoba, której dokument dotyczy, nie wydaje się dokumentów, o których mowa w punkcie VII.2.2), zastępuje się je dokumentem </w:t>
      </w:r>
      <w:r w:rsidRPr="00007314">
        <w:rPr>
          <w:rFonts w:asciiTheme="minorHAnsi" w:eastAsia="Calibri" w:hAnsiTheme="minorHAnsi" w:cs="Open Sans"/>
          <w:sz w:val="22"/>
          <w:szCs w:val="22"/>
        </w:rPr>
        <w:lastRenderedPageBreak/>
        <w:t>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punk</w:t>
      </w:r>
      <w:r w:rsidR="00080681" w:rsidRPr="00007314">
        <w:rPr>
          <w:rFonts w:asciiTheme="minorHAnsi" w:eastAsia="Calibri" w:hAnsiTheme="minorHAnsi" w:cs="Open Sans"/>
          <w:sz w:val="22"/>
          <w:szCs w:val="22"/>
        </w:rPr>
        <w:t>tu</w:t>
      </w:r>
      <w:r w:rsidRPr="00007314">
        <w:rPr>
          <w:rFonts w:asciiTheme="minorHAnsi" w:eastAsia="Calibri" w:hAnsiTheme="minorHAnsi" w:cs="Open Sans"/>
          <w:sz w:val="22"/>
          <w:szCs w:val="22"/>
        </w:rPr>
        <w:t xml:space="preserve"> VII.2.3) stosuje się.</w:t>
      </w:r>
    </w:p>
    <w:p w14:paraId="312D1C9A" w14:textId="77777777" w:rsidR="00442200" w:rsidRPr="00007314" w:rsidRDefault="00442200" w:rsidP="001E512C">
      <w:pPr>
        <w:pStyle w:val="Wypunktowanie2"/>
        <w:tabs>
          <w:tab w:val="clear" w:pos="792"/>
        </w:tabs>
        <w:suppressAutoHyphens/>
        <w:spacing w:line="276" w:lineRule="auto"/>
        <w:ind w:left="0" w:firstLine="0"/>
        <w:jc w:val="both"/>
        <w:rPr>
          <w:rFonts w:asciiTheme="minorHAnsi" w:eastAsia="Calibri" w:hAnsiTheme="minorHAnsi" w:cs="Open Sans"/>
          <w:sz w:val="22"/>
          <w:szCs w:val="22"/>
        </w:rPr>
      </w:pPr>
    </w:p>
    <w:p w14:paraId="69A4D8E2" w14:textId="77777777" w:rsidR="008F4D07" w:rsidRPr="00007314" w:rsidRDefault="008F4D07" w:rsidP="002D21E8">
      <w:pPr>
        <w:pStyle w:val="Kolorowalistaakcent11"/>
        <w:widowControl w:val="0"/>
        <w:numPr>
          <w:ilvl w:val="0"/>
          <w:numId w:val="7"/>
        </w:numPr>
        <w:suppressAutoHyphens/>
        <w:spacing w:before="0" w:after="0" w:line="276" w:lineRule="auto"/>
        <w:ind w:left="993" w:hanging="426"/>
        <w:contextualSpacing/>
        <w:rPr>
          <w:rFonts w:asciiTheme="minorHAnsi" w:hAnsiTheme="minorHAnsi" w:cs="Open Sans"/>
          <w:b/>
        </w:rPr>
      </w:pPr>
      <w:r w:rsidRPr="00007314">
        <w:rPr>
          <w:rFonts w:asciiTheme="minorHAnsi" w:hAnsiTheme="minorHAnsi" w:cs="Open Sans"/>
          <w:b/>
        </w:rPr>
        <w:t>Wykaz dokumentów i oświadczeń, które Wykonawca składa w postępowaniu na wezwanie Zamawiającego na potwierdzenie okoliczności, o których mowa w art. 25 ust. 1 pkt 1 ustawy</w:t>
      </w:r>
      <w:r w:rsidR="00A44C86" w:rsidRPr="00007314">
        <w:rPr>
          <w:rFonts w:asciiTheme="minorHAnsi" w:hAnsiTheme="minorHAnsi" w:cs="Open Sans"/>
          <w:b/>
        </w:rPr>
        <w:t>:</w:t>
      </w:r>
    </w:p>
    <w:p w14:paraId="74214F08" w14:textId="7ACADC12" w:rsidR="008F4D07" w:rsidRPr="007D22BC" w:rsidRDefault="00D96513" w:rsidP="007D22BC">
      <w:pPr>
        <w:pStyle w:val="Kolorowalistaakcent11"/>
        <w:widowControl w:val="0"/>
        <w:suppressAutoHyphens/>
        <w:spacing w:before="0" w:after="0" w:line="276" w:lineRule="auto"/>
        <w:ind w:left="993"/>
        <w:contextualSpacing/>
        <w:rPr>
          <w:rFonts w:asciiTheme="minorHAnsi" w:hAnsiTheme="minorHAnsi" w:cs="Open Sans"/>
        </w:rPr>
      </w:pPr>
      <w:r w:rsidRPr="007D22BC">
        <w:rPr>
          <w:rFonts w:asciiTheme="minorHAnsi" w:hAnsiTheme="minorHAnsi" w:cs="Open Sans"/>
        </w:rPr>
        <w:t>W celu potwierdzenia przez</w:t>
      </w:r>
      <w:r w:rsidRPr="00007314">
        <w:rPr>
          <w:rFonts w:asciiTheme="minorHAnsi" w:hAnsiTheme="minorHAnsi" w:cs="Open Sans"/>
        </w:rPr>
        <w:t xml:space="preserve"> Wykonawcę spełniania warunku udziału w postępowaniu dotyczącego kompetencji lub uprawnień do prowadzenia określonej działalności zawodowej, Zamawiający żąda następujących dokumentów:</w:t>
      </w:r>
    </w:p>
    <w:p w14:paraId="3CE1EC8E" w14:textId="48235254" w:rsidR="009B2F53" w:rsidRPr="00007314" w:rsidRDefault="009B2F53" w:rsidP="007D22BC">
      <w:pPr>
        <w:pStyle w:val="Akapitzlist"/>
        <w:numPr>
          <w:ilvl w:val="0"/>
          <w:numId w:val="46"/>
        </w:numPr>
        <w:spacing w:after="0" w:line="276" w:lineRule="auto"/>
        <w:jc w:val="both"/>
        <w:rPr>
          <w:rFonts w:cs="Open Sans"/>
        </w:rPr>
      </w:pPr>
      <w:r w:rsidRPr="00007314">
        <w:rPr>
          <w:rFonts w:cs="Open Sans"/>
        </w:rPr>
        <w:t>zezwolenie właściwego organu na prowadzenie działalności ubezpieczeniowej w zakresie tożsamym z przedmiotem zamówienia, lub gdy zezwolenie nie jest wymagane na podstawie odrębnych przepisów:</w:t>
      </w:r>
    </w:p>
    <w:p w14:paraId="423CC6CC" w14:textId="677F5183" w:rsidR="009B2F53" w:rsidRDefault="009B2F53" w:rsidP="00442200">
      <w:pPr>
        <w:pStyle w:val="Akapitzlist"/>
        <w:numPr>
          <w:ilvl w:val="2"/>
          <w:numId w:val="45"/>
        </w:numPr>
        <w:tabs>
          <w:tab w:val="left" w:pos="1843"/>
        </w:tabs>
        <w:spacing w:after="0" w:line="276" w:lineRule="auto"/>
        <w:ind w:left="1560" w:hanging="284"/>
        <w:jc w:val="both"/>
        <w:rPr>
          <w:rFonts w:cs="Open Sans"/>
        </w:rPr>
      </w:pPr>
      <w:r w:rsidRPr="00007314">
        <w:rPr>
          <w:rFonts w:cs="Open Sans"/>
        </w:rPr>
        <w:t>zaświadczenie właściwego organu nadzoru, że Wykonawca prowadzi działalność ubezpieczeniową w wymaganym zakresie, lub</w:t>
      </w:r>
    </w:p>
    <w:p w14:paraId="30A35754" w14:textId="77777777" w:rsidR="009B2F53" w:rsidRPr="00442200" w:rsidRDefault="009B2F53" w:rsidP="00442200">
      <w:pPr>
        <w:pStyle w:val="Akapitzlist"/>
        <w:numPr>
          <w:ilvl w:val="2"/>
          <w:numId w:val="45"/>
        </w:numPr>
        <w:tabs>
          <w:tab w:val="left" w:pos="1418"/>
          <w:tab w:val="left" w:pos="1843"/>
        </w:tabs>
        <w:spacing w:after="0" w:line="276" w:lineRule="auto"/>
        <w:ind w:left="1560" w:hanging="284"/>
        <w:jc w:val="both"/>
        <w:rPr>
          <w:rFonts w:cs="Open Sans"/>
        </w:rPr>
      </w:pPr>
      <w:r w:rsidRPr="00442200">
        <w:rPr>
          <w:rFonts w:cs="Open Sans"/>
        </w:rPr>
        <w:t>oświadczenie organu uprawnionego do reprezentowania Wykonawcy, że prowadzi on działalność ubezpieczeniową w wymaganym zakresie i nie jest konieczne posiadanie przez niego zezwolenia, wraz z przytoczeniem podstawy prawnej.</w:t>
      </w:r>
    </w:p>
    <w:p w14:paraId="672B197E" w14:textId="77777777" w:rsidR="008F4D07" w:rsidRPr="00007314" w:rsidRDefault="008F4D07" w:rsidP="00CF2FDA">
      <w:pPr>
        <w:pStyle w:val="Kolorowalistaakcent11"/>
        <w:widowControl w:val="0"/>
        <w:tabs>
          <w:tab w:val="left" w:pos="2127"/>
        </w:tabs>
        <w:suppressAutoHyphens/>
        <w:spacing w:before="0" w:after="0" w:line="276" w:lineRule="auto"/>
        <w:ind w:left="2127"/>
        <w:contextualSpacing/>
        <w:rPr>
          <w:rFonts w:asciiTheme="minorHAnsi" w:hAnsiTheme="minorHAnsi" w:cs="Open Sans"/>
        </w:rPr>
      </w:pPr>
    </w:p>
    <w:p w14:paraId="7B7DDE3F" w14:textId="77777777" w:rsidR="008F4D07" w:rsidRPr="00007314" w:rsidRDefault="008F4D07" w:rsidP="002D21E8">
      <w:pPr>
        <w:numPr>
          <w:ilvl w:val="0"/>
          <w:numId w:val="7"/>
        </w:numPr>
        <w:tabs>
          <w:tab w:val="left" w:pos="1134"/>
        </w:tabs>
        <w:spacing w:after="0" w:line="276" w:lineRule="auto"/>
        <w:ind w:left="993" w:hanging="426"/>
        <w:jc w:val="both"/>
        <w:rPr>
          <w:rFonts w:cs="Open Sans"/>
        </w:rPr>
      </w:pPr>
      <w:r w:rsidRPr="00007314">
        <w:rPr>
          <w:rFonts w:cs="Open Sans"/>
          <w:b/>
        </w:rPr>
        <w:t>Dokumenty dotyczące przynależności do tej samej grupy kapitałowej</w:t>
      </w:r>
      <w:r w:rsidRPr="00007314">
        <w:rPr>
          <w:rFonts w:cs="Open Sans"/>
        </w:rPr>
        <w:t>:</w:t>
      </w:r>
    </w:p>
    <w:p w14:paraId="26C4112C" w14:textId="5EA76E48" w:rsidR="008F4D07" w:rsidRPr="00007314" w:rsidRDefault="008F4D07" w:rsidP="00CF2FDA">
      <w:pPr>
        <w:spacing w:after="0" w:line="276" w:lineRule="auto"/>
        <w:ind w:left="993"/>
        <w:jc w:val="both"/>
        <w:rPr>
          <w:rFonts w:cs="Open Sans"/>
        </w:rPr>
      </w:pPr>
      <w:r w:rsidRPr="00007314">
        <w:rPr>
          <w:rFonts w:cs="Open Sans"/>
        </w:rPr>
        <w:t xml:space="preserve">Wykonawca, w terminie 3 dni od zamieszczenia na stronie internetowej </w:t>
      </w:r>
      <w:r w:rsidR="00204CF9" w:rsidRPr="00007314">
        <w:rPr>
          <w:rFonts w:cs="Open Sans"/>
        </w:rPr>
        <w:t xml:space="preserve">Zamawiającego </w:t>
      </w:r>
      <w:r w:rsidRPr="00007314">
        <w:rPr>
          <w:rFonts w:cs="Open Sans"/>
        </w:rPr>
        <w:t xml:space="preserve">informacji, o której mowa w </w:t>
      </w:r>
      <w:hyperlink r:id="rId10" w:history="1">
        <w:r w:rsidRPr="00007314">
          <w:rPr>
            <w:rFonts w:cs="Open Sans"/>
          </w:rPr>
          <w:t>art. 86 ust. 5</w:t>
        </w:r>
      </w:hyperlink>
      <w:r w:rsidRPr="00007314">
        <w:rPr>
          <w:rFonts w:cs="Open Sans"/>
        </w:rPr>
        <w:t xml:space="preserve"> ustawy Pzp, przekazuje </w:t>
      </w:r>
      <w:r w:rsidR="00136954" w:rsidRPr="00007314">
        <w:rPr>
          <w:rFonts w:cs="Open Sans"/>
        </w:rPr>
        <w:t>Z</w:t>
      </w:r>
      <w:r w:rsidRPr="00007314">
        <w:rPr>
          <w:rFonts w:cs="Open Sans"/>
        </w:rPr>
        <w:t xml:space="preserve">amawiającemu oświadczenie o przynależności lub braku przynależności do tej samej grupy </w:t>
      </w:r>
      <w:bookmarkStart w:id="2" w:name="highlightHit_1"/>
      <w:bookmarkEnd w:id="2"/>
      <w:r w:rsidRPr="00007314">
        <w:rPr>
          <w:rFonts w:cs="Open Sans"/>
        </w:rPr>
        <w:t xml:space="preserve">kapitałowej, o której mowa w art. 24 ust. 1 pkt 23 ustawy Pzp. Wraz ze złożeniem oświadczenia </w:t>
      </w:r>
      <w:r w:rsidR="003C097B" w:rsidRPr="00007314">
        <w:rPr>
          <w:rFonts w:cs="Open Sans"/>
        </w:rPr>
        <w:t>W</w:t>
      </w:r>
      <w:r w:rsidRPr="00007314">
        <w:rPr>
          <w:rFonts w:cs="Open Sans"/>
        </w:rPr>
        <w:t xml:space="preserve">ykonawca może przedstawić dowody, że powiązania z innym </w:t>
      </w:r>
      <w:r w:rsidR="003C097B" w:rsidRPr="00007314">
        <w:rPr>
          <w:rFonts w:cs="Open Sans"/>
        </w:rPr>
        <w:t>W</w:t>
      </w:r>
      <w:r w:rsidRPr="00007314">
        <w:rPr>
          <w:rFonts w:cs="Open Sans"/>
        </w:rPr>
        <w:t xml:space="preserve">ykonawcą nie prowadzą do zakłócenia konkurencji w postępowaniu o udzielenie zamówienia. Wzór informacji o przynależności do grupy kapitałowej stanowi </w:t>
      </w:r>
      <w:r w:rsidRPr="001E512C">
        <w:rPr>
          <w:rFonts w:cs="Open Sans"/>
        </w:rPr>
        <w:t xml:space="preserve">Załącznik nr </w:t>
      </w:r>
      <w:r w:rsidR="00C42938" w:rsidRPr="001E512C">
        <w:rPr>
          <w:rFonts w:cs="Open Sans"/>
        </w:rPr>
        <w:t xml:space="preserve">3 </w:t>
      </w:r>
      <w:r w:rsidRPr="001E512C">
        <w:rPr>
          <w:rFonts w:cs="Open Sans"/>
        </w:rPr>
        <w:t>do SIWZ</w:t>
      </w:r>
      <w:r w:rsidRPr="00007314">
        <w:rPr>
          <w:rFonts w:cs="Open Sans"/>
        </w:rPr>
        <w:t>.</w:t>
      </w:r>
    </w:p>
    <w:p w14:paraId="4AD3893E" w14:textId="77777777" w:rsidR="008F4D07" w:rsidRPr="00007314" w:rsidRDefault="008F4D07" w:rsidP="00CF2FDA">
      <w:pPr>
        <w:spacing w:after="0" w:line="276" w:lineRule="auto"/>
        <w:ind w:left="993"/>
        <w:rPr>
          <w:rFonts w:cs="Open Sans"/>
          <w:b/>
        </w:rPr>
      </w:pPr>
    </w:p>
    <w:p w14:paraId="3044FB92" w14:textId="77777777" w:rsidR="008F4D07" w:rsidRPr="00007314" w:rsidRDefault="008F4D07" w:rsidP="002D21E8">
      <w:pPr>
        <w:numPr>
          <w:ilvl w:val="0"/>
          <w:numId w:val="7"/>
        </w:numPr>
        <w:spacing w:after="0" w:line="276" w:lineRule="auto"/>
        <w:ind w:left="993" w:hanging="426"/>
        <w:jc w:val="both"/>
        <w:rPr>
          <w:rFonts w:cs="Open Sans"/>
        </w:rPr>
      </w:pPr>
      <w:r w:rsidRPr="00007314">
        <w:rPr>
          <w:rFonts w:cs="Open Sans"/>
          <w:b/>
        </w:rPr>
        <w:t>Informacje dodatkowe</w:t>
      </w:r>
      <w:r w:rsidRPr="00007314">
        <w:rPr>
          <w:rFonts w:cs="Open Sans"/>
        </w:rPr>
        <w:t>:</w:t>
      </w:r>
    </w:p>
    <w:p w14:paraId="6173E707" w14:textId="77777777" w:rsidR="008F4D07" w:rsidRPr="00007314" w:rsidRDefault="008F4D07" w:rsidP="002D21E8">
      <w:pPr>
        <w:numPr>
          <w:ilvl w:val="0"/>
          <w:numId w:val="9"/>
        </w:numPr>
        <w:spacing w:after="0" w:line="276" w:lineRule="auto"/>
        <w:ind w:left="1418" w:hanging="425"/>
        <w:jc w:val="both"/>
        <w:rPr>
          <w:rFonts w:cs="Open Sans"/>
        </w:rPr>
      </w:pPr>
      <w:r w:rsidRPr="00007314">
        <w:rPr>
          <w:rFonts w:cs="Open Sans"/>
        </w:rPr>
        <w:t xml:space="preserve">Zamawiający w niniejszym postępowaniu prowadzonym w trybie przetargu nieograniczonego najpierw dokona oceny ofert, a następnie zbada, czy </w:t>
      </w:r>
      <w:r w:rsidR="003C097B" w:rsidRPr="00007314">
        <w:rPr>
          <w:rFonts w:cs="Open Sans"/>
        </w:rPr>
        <w:t>W</w:t>
      </w:r>
      <w:r w:rsidRPr="00007314">
        <w:rPr>
          <w:rFonts w:cs="Open Sans"/>
        </w:rPr>
        <w:t xml:space="preserve">ykonawca, którego oferta została oceniona jako najkorzystniejsza, nie podlega wykluczeniu oraz spełnia warunki udziału w postępowaniu. Zamawiający wezwie </w:t>
      </w:r>
      <w:r w:rsidR="003C097B" w:rsidRPr="00007314">
        <w:rPr>
          <w:rFonts w:cs="Open Sans"/>
        </w:rPr>
        <w:t>W</w:t>
      </w:r>
      <w:r w:rsidRPr="00007314">
        <w:rPr>
          <w:rFonts w:cs="Open Sans"/>
        </w:rPr>
        <w:t>ykonawcę, którego oferta została najwyżej oceniona, do złożenia w wyznaczonym, nie krótszym niż 5 dni, terminie aktualnych na dzień złożenia oświadczeń lub dokumentów potwierdzających okoliczności, o których mowa w art. 25 ust. 1 ustawy Pzp.</w:t>
      </w:r>
    </w:p>
    <w:p w14:paraId="0FF33423" w14:textId="77777777" w:rsidR="008F4D07" w:rsidRPr="00007314" w:rsidRDefault="008F4D07" w:rsidP="002D21E8">
      <w:pPr>
        <w:pStyle w:val="Akapitzlist"/>
        <w:numPr>
          <w:ilvl w:val="0"/>
          <w:numId w:val="9"/>
        </w:numPr>
        <w:spacing w:after="0" w:line="276" w:lineRule="auto"/>
        <w:ind w:left="1418" w:hanging="425"/>
        <w:contextualSpacing w:val="0"/>
        <w:jc w:val="both"/>
        <w:rPr>
          <w:rFonts w:cs="Open Sans"/>
        </w:rPr>
      </w:pPr>
      <w:r w:rsidRPr="00007314">
        <w:rPr>
          <w:rFonts w:cs="Open Sans"/>
        </w:rPr>
        <w:t xml:space="preserve">W przypadku wspólnego ubiegania się o zamówienie przez </w:t>
      </w:r>
      <w:r w:rsidR="003C097B" w:rsidRPr="00007314">
        <w:rPr>
          <w:rFonts w:cs="Open Sans"/>
        </w:rPr>
        <w:t>W</w:t>
      </w:r>
      <w:r w:rsidRPr="00007314">
        <w:rPr>
          <w:rFonts w:cs="Open Sans"/>
        </w:rPr>
        <w:t xml:space="preserve">ykonawców, oświadczenie składa każdy z </w:t>
      </w:r>
      <w:r w:rsidR="003C097B" w:rsidRPr="00007314">
        <w:rPr>
          <w:rFonts w:cs="Open Sans"/>
        </w:rPr>
        <w:t>W</w:t>
      </w:r>
      <w:r w:rsidRPr="00007314">
        <w:rPr>
          <w:rFonts w:cs="Open Sans"/>
        </w:rPr>
        <w:t xml:space="preserve">ykonawców wspólnie ubiegających się o </w:t>
      </w:r>
      <w:r w:rsidRPr="00007314">
        <w:rPr>
          <w:rFonts w:cs="Open Sans"/>
        </w:rPr>
        <w:lastRenderedPageBreak/>
        <w:t xml:space="preserve">zamówienie. Dokumenty te potwierdzają spełnianie warunków udziału w postępowaniu oraz brak podstaw wykluczenia w zakresie, w którym każdy z </w:t>
      </w:r>
      <w:r w:rsidR="003C097B" w:rsidRPr="00007314">
        <w:rPr>
          <w:rFonts w:cs="Open Sans"/>
        </w:rPr>
        <w:t>W</w:t>
      </w:r>
      <w:r w:rsidRPr="00007314">
        <w:rPr>
          <w:rFonts w:cs="Open Sans"/>
        </w:rPr>
        <w:t>ykonawców wykazuje spełnianie warunków udziału w postępowaniu oraz brak podstaw wykluczenia.</w:t>
      </w:r>
    </w:p>
    <w:p w14:paraId="0023EABA" w14:textId="149416F1" w:rsidR="008F4D07" w:rsidRPr="00007314" w:rsidRDefault="008F4D07" w:rsidP="002D21E8">
      <w:pPr>
        <w:pStyle w:val="Akapitzlist"/>
        <w:numPr>
          <w:ilvl w:val="0"/>
          <w:numId w:val="9"/>
        </w:numPr>
        <w:spacing w:after="0" w:line="276" w:lineRule="auto"/>
        <w:ind w:left="1418" w:hanging="425"/>
        <w:contextualSpacing w:val="0"/>
        <w:jc w:val="both"/>
        <w:rPr>
          <w:rFonts w:cs="Open Sans"/>
        </w:rPr>
      </w:pPr>
      <w:r w:rsidRPr="00007314">
        <w:rPr>
          <w:rFonts w:cs="Open Sans"/>
        </w:rPr>
        <w:t xml:space="preserve">Wykonawca nie jest obowiązany do złożenia oświadczeń lub dokumentów potwierdzających okoliczności, o których mowa w art. 25 ust. 1 pkt 1 i 3 ustawy Pzp, jeżeli </w:t>
      </w:r>
      <w:r w:rsidR="00136954" w:rsidRPr="00007314">
        <w:rPr>
          <w:rFonts w:cs="Open Sans"/>
        </w:rPr>
        <w:t>Z</w:t>
      </w:r>
      <w:r w:rsidRPr="00007314">
        <w:rPr>
          <w:rFonts w:cs="Open Sans"/>
        </w:rPr>
        <w:t xml:space="preserve">amawiający posiada oświadczenia lub dokumenty dotyczące tego </w:t>
      </w:r>
      <w:r w:rsidR="003C097B" w:rsidRPr="00007314">
        <w:rPr>
          <w:rFonts w:cs="Open Sans"/>
        </w:rPr>
        <w:t>W</w:t>
      </w:r>
      <w:r w:rsidRPr="00007314">
        <w:rPr>
          <w:rFonts w:cs="Open Sans"/>
        </w:rPr>
        <w:t>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r w:rsidR="00AB29ED" w:rsidRPr="00007314">
        <w:rPr>
          <w:rFonts w:cs="Open Sans"/>
        </w:rPr>
        <w:t>.</w:t>
      </w:r>
    </w:p>
    <w:p w14:paraId="1040E32F" w14:textId="692B59D7" w:rsidR="00E25785" w:rsidRPr="00007314" w:rsidRDefault="00E25785" w:rsidP="002D21E8">
      <w:pPr>
        <w:pStyle w:val="Akapitzlist"/>
        <w:numPr>
          <w:ilvl w:val="0"/>
          <w:numId w:val="9"/>
        </w:numPr>
        <w:spacing w:after="0" w:line="276" w:lineRule="auto"/>
        <w:ind w:left="1418" w:hanging="425"/>
        <w:contextualSpacing w:val="0"/>
        <w:jc w:val="both"/>
        <w:rPr>
          <w:rFonts w:cs="Open Sans"/>
        </w:rPr>
      </w:pPr>
      <w:r w:rsidRPr="00007314">
        <w:rPr>
          <w:rFonts w:cs="Open Sans"/>
        </w:rPr>
        <w:t>Dokumenty lub oświadczenia, o których mowa w specyfikacji istotnych warunków zamówienia i ogłoszeniu o zamówieniu składane są w oryginale lub kopii poświadczonej za zgodność z oryginałem.</w:t>
      </w:r>
    </w:p>
    <w:p w14:paraId="34479894" w14:textId="683FDE04" w:rsidR="008F4D07" w:rsidRPr="00007314" w:rsidRDefault="008F4D07" w:rsidP="002D21E8">
      <w:pPr>
        <w:pStyle w:val="Akapitzlist"/>
        <w:numPr>
          <w:ilvl w:val="0"/>
          <w:numId w:val="9"/>
        </w:numPr>
        <w:spacing w:after="0" w:line="276" w:lineRule="auto"/>
        <w:ind w:left="1418" w:hanging="425"/>
        <w:contextualSpacing w:val="0"/>
        <w:jc w:val="both"/>
        <w:rPr>
          <w:rFonts w:cs="Open Sans"/>
        </w:rPr>
      </w:pPr>
      <w:r w:rsidRPr="00007314">
        <w:rPr>
          <w:rFonts w:cs="Open Sans"/>
        </w:rPr>
        <w:t xml:space="preserve">Poświadczenia za zgodność z oryginałem dokonuje odpowiednio </w:t>
      </w:r>
      <w:r w:rsidR="00136954" w:rsidRPr="00007314">
        <w:rPr>
          <w:rFonts w:cs="Open Sans"/>
        </w:rPr>
        <w:t>W</w:t>
      </w:r>
      <w:r w:rsidRPr="00007314">
        <w:rPr>
          <w:rFonts w:cs="Open Sans"/>
        </w:rPr>
        <w:t xml:space="preserve">ykonawca, </w:t>
      </w:r>
      <w:r w:rsidR="00136954" w:rsidRPr="00007314">
        <w:rPr>
          <w:rFonts w:cs="Open Sans"/>
        </w:rPr>
        <w:t>W</w:t>
      </w:r>
      <w:r w:rsidRPr="00007314">
        <w:rPr>
          <w:rFonts w:cs="Open Sans"/>
        </w:rPr>
        <w:t>ykonawcy wspólnie ubiegający się o udzielenie zamówienia publicznego albo podwykonawca, w zakresie dokumentów, które każdego z nich dotyczą.</w:t>
      </w:r>
    </w:p>
    <w:p w14:paraId="268FF77F" w14:textId="08EE2061" w:rsidR="00E25785" w:rsidRPr="00007314" w:rsidRDefault="00E25785" w:rsidP="002D21E8">
      <w:pPr>
        <w:pStyle w:val="Akapitzlist"/>
        <w:numPr>
          <w:ilvl w:val="0"/>
          <w:numId w:val="9"/>
        </w:numPr>
        <w:spacing w:after="0" w:line="276" w:lineRule="auto"/>
        <w:ind w:left="1418" w:hanging="425"/>
        <w:contextualSpacing w:val="0"/>
        <w:jc w:val="both"/>
        <w:rPr>
          <w:rFonts w:cs="Open Sans"/>
        </w:rPr>
      </w:pPr>
      <w:r w:rsidRPr="00007314">
        <w:rPr>
          <w:rFonts w:cs="Open Sans"/>
        </w:rPr>
        <w:t>Poświadczenie za zgodność z oryginałem następuje przez opatrzenie kopii dokumentu lub kopii oświadczenia, sporządzonych w postaci papierowej, własnoręcznym podpisem.</w:t>
      </w:r>
    </w:p>
    <w:p w14:paraId="76ACADA1" w14:textId="77777777" w:rsidR="008F4D07" w:rsidRPr="00007314" w:rsidRDefault="00EB4372" w:rsidP="002D21E8">
      <w:pPr>
        <w:pStyle w:val="Akapitzlist"/>
        <w:numPr>
          <w:ilvl w:val="0"/>
          <w:numId w:val="9"/>
        </w:numPr>
        <w:spacing w:after="0" w:line="276" w:lineRule="auto"/>
        <w:ind w:left="1418" w:hanging="425"/>
        <w:contextualSpacing w:val="0"/>
        <w:jc w:val="both"/>
        <w:rPr>
          <w:rFonts w:cs="Open Sans"/>
        </w:rPr>
      </w:pPr>
      <w:r w:rsidRPr="00007314">
        <w:rPr>
          <w:rFonts w:cs="Open Sans"/>
        </w:rPr>
        <w:t>Dokumenty sporządzone w języku obcym są składane wraz z tłumaczeniem na język polski.</w:t>
      </w:r>
    </w:p>
    <w:p w14:paraId="598DE47C" w14:textId="77777777" w:rsidR="008F4D07" w:rsidRPr="00007314" w:rsidRDefault="008F4D07" w:rsidP="002D21E8">
      <w:pPr>
        <w:pStyle w:val="Akapitzlist"/>
        <w:numPr>
          <w:ilvl w:val="0"/>
          <w:numId w:val="9"/>
        </w:numPr>
        <w:spacing w:after="0" w:line="276" w:lineRule="auto"/>
        <w:ind w:left="1418" w:hanging="425"/>
        <w:contextualSpacing w:val="0"/>
        <w:jc w:val="both"/>
        <w:rPr>
          <w:rFonts w:cs="Open Sans"/>
        </w:rPr>
      </w:pPr>
      <w:r w:rsidRPr="00007314">
        <w:rPr>
          <w:rFonts w:cs="Open Sans"/>
        </w:rPr>
        <w:t>W przypadku, gdy Wykonawcę reprezentuje pełnomocnik, do oferty należy załączyć pełnomocnictwo z określeniem jego zakresu. Pełnomocnictwo należy złożyć w oryginale</w:t>
      </w:r>
      <w:r w:rsidR="00EF6F3E" w:rsidRPr="00007314">
        <w:rPr>
          <w:rFonts w:cs="Open Sans"/>
        </w:rPr>
        <w:t xml:space="preserve"> lub</w:t>
      </w:r>
      <w:r w:rsidRPr="00007314">
        <w:rPr>
          <w:rFonts w:cs="Open Sans"/>
        </w:rPr>
        <w:t xml:space="preserve"> kopii poświadczonej notarialnie</w:t>
      </w:r>
      <w:r w:rsidR="00EF6F3E" w:rsidRPr="00007314">
        <w:rPr>
          <w:rFonts w:cs="Open Sans"/>
        </w:rPr>
        <w:t>.</w:t>
      </w:r>
      <w:r w:rsidRPr="00007314">
        <w:rPr>
          <w:rFonts w:cs="Open Sans"/>
        </w:rPr>
        <w:t xml:space="preserve"> </w:t>
      </w:r>
    </w:p>
    <w:p w14:paraId="33835193" w14:textId="77777777" w:rsidR="00EF6F3E" w:rsidRPr="00007314" w:rsidRDefault="008F4D07" w:rsidP="002D21E8">
      <w:pPr>
        <w:pStyle w:val="Akapitzlist"/>
        <w:numPr>
          <w:ilvl w:val="0"/>
          <w:numId w:val="9"/>
        </w:numPr>
        <w:spacing w:after="0" w:line="276" w:lineRule="auto"/>
        <w:ind w:left="1417" w:hanging="425"/>
        <w:contextualSpacing w:val="0"/>
        <w:jc w:val="both"/>
        <w:rPr>
          <w:rFonts w:cs="Open Sans"/>
        </w:rPr>
      </w:pPr>
      <w:r w:rsidRPr="00007314">
        <w:rPr>
          <w:rFonts w:cs="Open Sans"/>
        </w:rPr>
        <w:t>Wspólnie ubiegający się o udzielenie zamówienia składają pełnomocnictwo do reprezentowania ich w postępowaniu o udzielenie zamówienia albo reprezentowania w postępowaniu i zawarcia Umowy w sprawie zamówienia publicznego</w:t>
      </w:r>
      <w:r w:rsidR="00EF6F3E" w:rsidRPr="00007314">
        <w:rPr>
          <w:rFonts w:cs="Open Sans"/>
        </w:rPr>
        <w:t xml:space="preserve"> </w:t>
      </w:r>
      <w:r w:rsidRPr="00007314">
        <w:rPr>
          <w:rFonts w:cs="Open Sans"/>
        </w:rPr>
        <w:t>dla ustanowionego przez nich pełnomocnika. Pełnomocnictwo należy złożyć w oryginale</w:t>
      </w:r>
      <w:r w:rsidR="00EF6F3E" w:rsidRPr="00007314">
        <w:rPr>
          <w:rFonts w:cs="Open Sans"/>
        </w:rPr>
        <w:t xml:space="preserve"> lub</w:t>
      </w:r>
      <w:r w:rsidRPr="00007314">
        <w:rPr>
          <w:rFonts w:cs="Open Sans"/>
        </w:rPr>
        <w:t xml:space="preserve"> kopii poświadczonej notarialnie</w:t>
      </w:r>
      <w:r w:rsidR="00EF6F3E" w:rsidRPr="00007314">
        <w:rPr>
          <w:rFonts w:cs="Open Sans"/>
        </w:rPr>
        <w:t>.</w:t>
      </w:r>
    </w:p>
    <w:p w14:paraId="4FDD36CA" w14:textId="77777777" w:rsidR="008F4D07" w:rsidRPr="00007314" w:rsidRDefault="008F4D07" w:rsidP="002D21E8">
      <w:pPr>
        <w:pStyle w:val="Akapitzlist"/>
        <w:numPr>
          <w:ilvl w:val="0"/>
          <w:numId w:val="9"/>
        </w:numPr>
        <w:spacing w:after="0" w:line="276" w:lineRule="auto"/>
        <w:ind w:left="1417" w:hanging="425"/>
        <w:contextualSpacing w:val="0"/>
        <w:jc w:val="both"/>
        <w:rPr>
          <w:rFonts w:cs="Open Sans"/>
        </w:rPr>
      </w:pPr>
      <w:r w:rsidRPr="00007314">
        <w:rPr>
          <w:rFonts w:cs="Open Sans"/>
        </w:rPr>
        <w:t>W przypadku złożenia przez Wykonawców dokumentów, w których jakiekolwiek kwoty podane zostały w walutach obcych, Zamawiający przeliczy te kwoty na zł</w:t>
      </w:r>
      <w:r w:rsidR="00EF6F3E" w:rsidRPr="00007314">
        <w:rPr>
          <w:rFonts w:cs="Open Sans"/>
        </w:rPr>
        <w:t>ote polskie</w:t>
      </w:r>
      <w:r w:rsidRPr="00007314">
        <w:rPr>
          <w:rFonts w:cs="Open Sans"/>
        </w:rPr>
        <w:t xml:space="preserve"> według średniego kursu Narodowego Banku Polskiego obowiązującego w dniu zamieszczenia ogłoszenia o zamówieniu w Biuletynie Zamówień Publicznych.</w:t>
      </w:r>
      <w:r w:rsidR="00EF6F3E" w:rsidRPr="00007314">
        <w:rPr>
          <w:rFonts w:cs="Open Sans"/>
        </w:rPr>
        <w:t xml:space="preserve"> Jeżeli w dniu publikacji ogłoszenia o zamówieniu Narodowy Bank Polski nie opublikuje informacji o średnim kursie walut, </w:t>
      </w:r>
      <w:r w:rsidR="00136954" w:rsidRPr="00007314">
        <w:rPr>
          <w:rFonts w:cs="Open Sans"/>
        </w:rPr>
        <w:t>Z</w:t>
      </w:r>
      <w:r w:rsidR="00EF6F3E" w:rsidRPr="00007314">
        <w:rPr>
          <w:rFonts w:cs="Open Sans"/>
        </w:rPr>
        <w:t>amawiający dokona odpowiednich przeliczeń według średniego kursu z pierwszego kolejnego dnia, w którym Narodowy Bank Polski opublikuje wyżej wymienione informacje</w:t>
      </w:r>
      <w:r w:rsidR="00C71305" w:rsidRPr="00007314">
        <w:rPr>
          <w:rFonts w:cs="Open Sans"/>
        </w:rPr>
        <w:t>.</w:t>
      </w:r>
    </w:p>
    <w:p w14:paraId="748BBAAC" w14:textId="77777777" w:rsidR="00F72DCC" w:rsidRPr="00007314" w:rsidRDefault="00F72DCC" w:rsidP="00CF2FDA">
      <w:pPr>
        <w:pStyle w:val="Bodytext20"/>
        <w:shd w:val="clear" w:color="auto" w:fill="auto"/>
        <w:tabs>
          <w:tab w:val="left" w:pos="1539"/>
        </w:tabs>
        <w:spacing w:before="0" w:line="276" w:lineRule="auto"/>
        <w:ind w:firstLine="0"/>
        <w:jc w:val="both"/>
        <w:rPr>
          <w:rFonts w:asciiTheme="minorHAnsi" w:hAnsiTheme="minorHAnsi" w:cs="Open Sans"/>
          <w:sz w:val="22"/>
          <w:szCs w:val="22"/>
        </w:rPr>
      </w:pPr>
    </w:p>
    <w:p w14:paraId="35D18C06" w14:textId="2CB4D7D6" w:rsidR="00442200" w:rsidRPr="00442200" w:rsidRDefault="00A44C86" w:rsidP="00442200">
      <w:pPr>
        <w:numPr>
          <w:ilvl w:val="0"/>
          <w:numId w:val="2"/>
        </w:numPr>
        <w:spacing w:after="0" w:line="276" w:lineRule="auto"/>
        <w:jc w:val="both"/>
        <w:rPr>
          <w:rFonts w:cs="Open Sans"/>
          <w:b/>
        </w:rPr>
      </w:pPr>
      <w:r w:rsidRPr="00007314">
        <w:rPr>
          <w:rFonts w:cs="Open Sans"/>
          <w:b/>
        </w:rPr>
        <w:t>INFORMACJE O SPOSOBIE POROZUMIEWANIA SIĘ ZAMAWIAJĄCEGO Z WYKONAWCAMI ORAZ PRZEKAZYWANIA OŚWIADCZEŃ LUB DOKUMENTÓW, A TAKŻE WSKAZANIE OSÓB UPRAWNIONYCH DO POROZUMIEWANIA SIĘ Z WYKONAWCAMI</w:t>
      </w:r>
    </w:p>
    <w:p w14:paraId="276C2359" w14:textId="77777777" w:rsidR="008F4D07" w:rsidRPr="00007314" w:rsidRDefault="008F4D07" w:rsidP="002D21E8">
      <w:pPr>
        <w:numPr>
          <w:ilvl w:val="1"/>
          <w:numId w:val="6"/>
        </w:numPr>
        <w:spacing w:after="0" w:line="276" w:lineRule="auto"/>
        <w:ind w:left="993" w:hanging="284"/>
        <w:jc w:val="both"/>
        <w:rPr>
          <w:rFonts w:cs="Open Sans"/>
        </w:rPr>
      </w:pPr>
      <w:r w:rsidRPr="00007314">
        <w:rPr>
          <w:rFonts w:cs="Open Sans"/>
        </w:rPr>
        <w:t>Postępowanie prowadzone jest w języku polskim.</w:t>
      </w:r>
    </w:p>
    <w:p w14:paraId="7A94CED1" w14:textId="77777777" w:rsidR="008F4D07" w:rsidRPr="00007314" w:rsidRDefault="008F4D07" w:rsidP="002D21E8">
      <w:pPr>
        <w:numPr>
          <w:ilvl w:val="1"/>
          <w:numId w:val="6"/>
        </w:numPr>
        <w:spacing w:after="0" w:line="276" w:lineRule="auto"/>
        <w:ind w:left="993" w:hanging="284"/>
        <w:jc w:val="both"/>
        <w:rPr>
          <w:rFonts w:cs="Open Sans"/>
        </w:rPr>
      </w:pPr>
      <w:r w:rsidRPr="00007314">
        <w:rPr>
          <w:rFonts w:cs="Open Sans"/>
        </w:rPr>
        <w:lastRenderedPageBreak/>
        <w:t xml:space="preserve">Komunikacja między </w:t>
      </w:r>
      <w:r w:rsidR="00136954" w:rsidRPr="00007314">
        <w:rPr>
          <w:rFonts w:cs="Open Sans"/>
        </w:rPr>
        <w:t>Z</w:t>
      </w:r>
      <w:r w:rsidRPr="00007314">
        <w:rPr>
          <w:rFonts w:cs="Open Sans"/>
        </w:rPr>
        <w:t xml:space="preserve">amawiającym a </w:t>
      </w:r>
      <w:r w:rsidR="00136954" w:rsidRPr="00007314">
        <w:rPr>
          <w:rFonts w:cs="Open Sans"/>
        </w:rPr>
        <w:t>W</w:t>
      </w:r>
      <w:r w:rsidRPr="00007314">
        <w:rPr>
          <w:rFonts w:cs="Open Sans"/>
        </w:rPr>
        <w:t>ykonawcami odbywa się za pośrednictwem operatora pocztowego w rozumieniu ustawy z dnia 23.11.2012 r. - Prawo pocztowe, za pośrednictwem posłańca, osobiście, przy użyciu środków komunikacji elektronicznej w rozumieniu ustawy z dnia 18.07.2002 r. o świadczeniu usług drogą elektroniczną.</w:t>
      </w:r>
    </w:p>
    <w:p w14:paraId="39CF1EB0" w14:textId="77777777" w:rsidR="008F4D07" w:rsidRPr="00007314" w:rsidRDefault="008F4D07" w:rsidP="002D21E8">
      <w:pPr>
        <w:numPr>
          <w:ilvl w:val="1"/>
          <w:numId w:val="6"/>
        </w:numPr>
        <w:spacing w:after="0" w:line="276" w:lineRule="auto"/>
        <w:ind w:left="993" w:hanging="284"/>
        <w:jc w:val="both"/>
        <w:rPr>
          <w:rFonts w:cs="Open Sans"/>
        </w:rPr>
      </w:pPr>
      <w:r w:rsidRPr="00007314">
        <w:rPr>
          <w:rFonts w:cs="Open Sans"/>
        </w:rPr>
        <w:t xml:space="preserve">Jeżeli </w:t>
      </w:r>
      <w:r w:rsidR="00136954" w:rsidRPr="00007314">
        <w:rPr>
          <w:rFonts w:cs="Open Sans"/>
        </w:rPr>
        <w:t>Z</w:t>
      </w:r>
      <w:r w:rsidRPr="00007314">
        <w:rPr>
          <w:rFonts w:cs="Open Sans"/>
        </w:rPr>
        <w:t xml:space="preserve">amawiający lub </w:t>
      </w:r>
      <w:r w:rsidR="00136954" w:rsidRPr="00007314">
        <w:rPr>
          <w:rFonts w:cs="Open Sans"/>
        </w:rPr>
        <w:t>W</w:t>
      </w:r>
      <w:r w:rsidRPr="00007314">
        <w:rPr>
          <w:rFonts w:cs="Open Sans"/>
        </w:rPr>
        <w:t>ykonawca przekazują oświadczenia, wnioski, zawiadomienia oraz informacje przy użyciu środków komunikacji elektronicznej w rozumieniu ustawy z dnia 18.07.2002 r. o świadczeniu usług drogą elektroniczną, każda ze stron na żądanie drugiej niezwłocznie potwierdza fakt ich otrzymania.</w:t>
      </w:r>
    </w:p>
    <w:p w14:paraId="59D91C07" w14:textId="77777777" w:rsidR="008F4D07" w:rsidRPr="00007314" w:rsidRDefault="008F4D07" w:rsidP="002D21E8">
      <w:pPr>
        <w:numPr>
          <w:ilvl w:val="1"/>
          <w:numId w:val="6"/>
        </w:numPr>
        <w:spacing w:after="0" w:line="276" w:lineRule="auto"/>
        <w:ind w:left="993" w:hanging="284"/>
        <w:jc w:val="both"/>
        <w:rPr>
          <w:rFonts w:cs="Open Sans"/>
        </w:rPr>
      </w:pPr>
      <w:r w:rsidRPr="00007314">
        <w:rPr>
          <w:rFonts w:cs="Open Sans"/>
        </w:rPr>
        <w:t xml:space="preserve">Wymagane jest przesyłanie ofert w formie pisemnej – za pośrednictwem operatora pocztowego w rozumieniu ustawy z dnia 23.11.2012r. - Prawo pocztowe, osobiście lub za pośrednictwem posłańca na adres: Gdańskie </w:t>
      </w:r>
      <w:r w:rsidR="00B5663F" w:rsidRPr="00007314">
        <w:rPr>
          <w:rFonts w:cs="Open Sans"/>
        </w:rPr>
        <w:t>Usługi Komunalne</w:t>
      </w:r>
      <w:r w:rsidRPr="00007314">
        <w:rPr>
          <w:rFonts w:cs="Open Sans"/>
        </w:rPr>
        <w:t xml:space="preserve"> Spółka z o.o., ul. </w:t>
      </w:r>
      <w:r w:rsidR="00B5663F" w:rsidRPr="00007314">
        <w:rPr>
          <w:rFonts w:cs="Open Sans"/>
        </w:rPr>
        <w:t>Konna 3</w:t>
      </w:r>
      <w:r w:rsidR="00A56A7C" w:rsidRPr="00007314">
        <w:rPr>
          <w:rFonts w:cs="Open Sans"/>
        </w:rPr>
        <w:t>5</w:t>
      </w:r>
      <w:r w:rsidR="00B5663F" w:rsidRPr="00007314">
        <w:rPr>
          <w:rFonts w:cs="Open Sans"/>
        </w:rPr>
        <w:t>, 80-174 Otomin</w:t>
      </w:r>
      <w:r w:rsidRPr="00007314">
        <w:rPr>
          <w:rFonts w:cs="Open Sans"/>
        </w:rPr>
        <w:t>. Nie dopuszcza się składania ofert w postaci elektronicznej.</w:t>
      </w:r>
    </w:p>
    <w:p w14:paraId="79152D6E" w14:textId="77777777" w:rsidR="008F4D07" w:rsidRPr="00007314" w:rsidRDefault="008F4D07" w:rsidP="002D21E8">
      <w:pPr>
        <w:numPr>
          <w:ilvl w:val="1"/>
          <w:numId w:val="6"/>
        </w:numPr>
        <w:spacing w:after="0" w:line="276" w:lineRule="auto"/>
        <w:ind w:left="993" w:hanging="284"/>
        <w:jc w:val="both"/>
        <w:rPr>
          <w:rFonts w:cs="Open Sans"/>
        </w:rPr>
      </w:pPr>
      <w:r w:rsidRPr="00007314">
        <w:rPr>
          <w:rFonts w:cs="Open Sans"/>
        </w:rPr>
        <w:t xml:space="preserve">Osobą uprawnioną do porozumiewania się z </w:t>
      </w:r>
      <w:r w:rsidR="00136954" w:rsidRPr="00007314">
        <w:rPr>
          <w:rFonts w:cs="Open Sans"/>
        </w:rPr>
        <w:t>W</w:t>
      </w:r>
      <w:r w:rsidRPr="00007314">
        <w:rPr>
          <w:rFonts w:cs="Open Sans"/>
        </w:rPr>
        <w:t>ykonawcami jest:</w:t>
      </w:r>
    </w:p>
    <w:p w14:paraId="3C7CBC96" w14:textId="0547939D" w:rsidR="008F4D07" w:rsidRPr="001E512C" w:rsidRDefault="00751912" w:rsidP="002D21E8">
      <w:pPr>
        <w:pStyle w:val="Akapitzlist"/>
        <w:numPr>
          <w:ilvl w:val="0"/>
          <w:numId w:val="15"/>
        </w:numPr>
        <w:spacing w:after="0" w:line="276" w:lineRule="auto"/>
        <w:ind w:left="1134" w:hanging="283"/>
        <w:jc w:val="both"/>
        <w:rPr>
          <w:lang w:val="en-US"/>
        </w:rPr>
      </w:pPr>
      <w:r w:rsidRPr="00007314">
        <w:rPr>
          <w:rFonts w:cs="Open Sans"/>
        </w:rPr>
        <w:t>Monika Pancer</w:t>
      </w:r>
      <w:r w:rsidR="006E1408" w:rsidRPr="00007314">
        <w:rPr>
          <w:rFonts w:cs="Open Sans"/>
        </w:rPr>
        <w:t xml:space="preserve"> tel. </w:t>
      </w:r>
      <w:r w:rsidR="006E1408" w:rsidRPr="001E512C">
        <w:rPr>
          <w:rFonts w:cs="Open Sans"/>
          <w:lang w:val="en-US"/>
        </w:rPr>
        <w:t>+48 668 86 33 1</w:t>
      </w:r>
      <w:r w:rsidRPr="001E512C">
        <w:rPr>
          <w:rFonts w:cs="Open Sans"/>
          <w:lang w:val="en-US"/>
        </w:rPr>
        <w:t>4</w:t>
      </w:r>
      <w:r w:rsidR="004520FA" w:rsidRPr="001E512C">
        <w:rPr>
          <w:rFonts w:cs="Open Sans"/>
          <w:lang w:val="en-US"/>
        </w:rPr>
        <w:t>, e-mail: monika.pancer@g</w:t>
      </w:r>
      <w:r w:rsidR="004520FA">
        <w:rPr>
          <w:rFonts w:cs="Open Sans"/>
          <w:lang w:val="en-US"/>
        </w:rPr>
        <w:t>uk.gda.pl</w:t>
      </w:r>
    </w:p>
    <w:p w14:paraId="185BA86D" w14:textId="77777777" w:rsidR="006C0D0B" w:rsidRPr="001E512C" w:rsidRDefault="006C0D0B" w:rsidP="00CF2FDA">
      <w:pPr>
        <w:spacing w:after="0" w:line="276" w:lineRule="auto"/>
        <w:jc w:val="both"/>
        <w:rPr>
          <w:rFonts w:cs="Open Sans"/>
          <w:lang w:val="en-US"/>
        </w:rPr>
      </w:pPr>
    </w:p>
    <w:p w14:paraId="0F592096" w14:textId="77777777" w:rsidR="00A856F0" w:rsidRPr="00007314" w:rsidRDefault="0072214D" w:rsidP="00CF2FDA">
      <w:pPr>
        <w:pStyle w:val="Akapitzlist"/>
        <w:numPr>
          <w:ilvl w:val="0"/>
          <w:numId w:val="2"/>
        </w:numPr>
        <w:spacing w:after="0" w:line="276" w:lineRule="auto"/>
        <w:jc w:val="both"/>
        <w:rPr>
          <w:rFonts w:cs="Open Sans"/>
          <w:b/>
        </w:rPr>
      </w:pPr>
      <w:r w:rsidRPr="00007314">
        <w:rPr>
          <w:rFonts w:cs="Open Sans"/>
          <w:b/>
        </w:rPr>
        <w:t>WYMAGANIA DOTYCZĄCE WADIUM</w:t>
      </w:r>
    </w:p>
    <w:p w14:paraId="6943DCCD" w14:textId="77777777" w:rsidR="00903381" w:rsidRPr="007D22BC" w:rsidRDefault="00903381" w:rsidP="00903381">
      <w:pPr>
        <w:pStyle w:val="Teksttreci1"/>
        <w:shd w:val="clear" w:color="auto" w:fill="auto"/>
        <w:spacing w:after="131" w:line="200" w:lineRule="exact"/>
        <w:ind w:left="720" w:firstLine="0"/>
        <w:rPr>
          <w:rFonts w:asciiTheme="minorHAnsi" w:hAnsiTheme="minorHAnsi"/>
          <w:sz w:val="22"/>
          <w:szCs w:val="22"/>
        </w:rPr>
      </w:pPr>
      <w:r w:rsidRPr="007D22BC">
        <w:rPr>
          <w:rFonts w:asciiTheme="minorHAnsi" w:hAnsiTheme="minorHAnsi"/>
          <w:sz w:val="22"/>
          <w:szCs w:val="22"/>
        </w:rPr>
        <w:t>Zamawiający odstępuje od wymogu wniesienia wadium.</w:t>
      </w:r>
    </w:p>
    <w:p w14:paraId="6B7A9B28" w14:textId="77777777" w:rsidR="005B6688" w:rsidRPr="00007314" w:rsidRDefault="005B6688" w:rsidP="00CF2FDA">
      <w:pPr>
        <w:pStyle w:val="Akapitzlist"/>
        <w:spacing w:after="0" w:line="276" w:lineRule="auto"/>
        <w:ind w:left="993" w:hanging="284"/>
        <w:jc w:val="both"/>
        <w:rPr>
          <w:rFonts w:cs="Open Sans"/>
        </w:rPr>
      </w:pPr>
    </w:p>
    <w:p w14:paraId="599F42F1" w14:textId="77777777" w:rsidR="002760E1" w:rsidRPr="00007314" w:rsidRDefault="0072214D" w:rsidP="00CF2FDA">
      <w:pPr>
        <w:pStyle w:val="Akapitzlist"/>
        <w:numPr>
          <w:ilvl w:val="0"/>
          <w:numId w:val="2"/>
        </w:numPr>
        <w:spacing w:after="0" w:line="276" w:lineRule="auto"/>
        <w:jc w:val="both"/>
        <w:rPr>
          <w:rFonts w:cs="Open Sans"/>
          <w:b/>
        </w:rPr>
      </w:pPr>
      <w:r w:rsidRPr="00007314">
        <w:rPr>
          <w:rFonts w:cs="Open Sans"/>
          <w:b/>
        </w:rPr>
        <w:t>TERMIN ZWIĄZANIA OFERTĄ</w:t>
      </w:r>
    </w:p>
    <w:p w14:paraId="4DD809AB" w14:textId="77777777" w:rsidR="005B6688" w:rsidRPr="00007314" w:rsidRDefault="005B6688" w:rsidP="00CF2FDA">
      <w:pPr>
        <w:pStyle w:val="Akapitzlist"/>
        <w:spacing w:after="0" w:line="276" w:lineRule="auto"/>
        <w:jc w:val="both"/>
        <w:rPr>
          <w:rFonts w:cs="Open Sans"/>
        </w:rPr>
      </w:pPr>
      <w:r w:rsidRPr="00007314">
        <w:rPr>
          <w:rFonts w:cs="Open Sans"/>
        </w:rPr>
        <w:t xml:space="preserve">Termin związania ofertą wynosi </w:t>
      </w:r>
      <w:r w:rsidR="008F4D07" w:rsidRPr="00C94AA8">
        <w:rPr>
          <w:rFonts w:cs="Open Sans"/>
        </w:rPr>
        <w:t>3</w:t>
      </w:r>
      <w:r w:rsidRPr="00C94AA8">
        <w:rPr>
          <w:rFonts w:cs="Open Sans"/>
        </w:rPr>
        <w:t>0 dni.</w:t>
      </w:r>
    </w:p>
    <w:p w14:paraId="73F7B118" w14:textId="77777777" w:rsidR="005B6688" w:rsidRPr="00007314" w:rsidRDefault="005B6688" w:rsidP="00CF2FDA">
      <w:pPr>
        <w:pStyle w:val="Akapitzlist"/>
        <w:spacing w:after="0" w:line="276" w:lineRule="auto"/>
        <w:jc w:val="both"/>
        <w:rPr>
          <w:rFonts w:cs="Open Sans"/>
        </w:rPr>
      </w:pPr>
    </w:p>
    <w:p w14:paraId="0051ECF8" w14:textId="77777777" w:rsidR="005B6688" w:rsidRPr="00007314" w:rsidRDefault="0072214D" w:rsidP="00CF2FDA">
      <w:pPr>
        <w:pStyle w:val="Akapitzlist"/>
        <w:numPr>
          <w:ilvl w:val="0"/>
          <w:numId w:val="2"/>
        </w:numPr>
        <w:spacing w:after="0" w:line="276" w:lineRule="auto"/>
        <w:jc w:val="both"/>
        <w:rPr>
          <w:rFonts w:cs="Open Sans"/>
          <w:b/>
        </w:rPr>
      </w:pPr>
      <w:r w:rsidRPr="00007314">
        <w:rPr>
          <w:rFonts w:cs="Open Sans"/>
          <w:b/>
        </w:rPr>
        <w:t>OPIS SPOSOBU PRZYGOTOWANIA OFERT</w:t>
      </w:r>
    </w:p>
    <w:p w14:paraId="297F7726" w14:textId="537901D5" w:rsidR="005E41F0" w:rsidRPr="00007314" w:rsidRDefault="008F4D07" w:rsidP="002D21E8">
      <w:pPr>
        <w:pStyle w:val="Akapitzlist"/>
        <w:numPr>
          <w:ilvl w:val="0"/>
          <w:numId w:val="12"/>
        </w:numPr>
        <w:spacing w:after="0" w:line="276" w:lineRule="auto"/>
        <w:ind w:left="993" w:hanging="284"/>
        <w:jc w:val="both"/>
        <w:rPr>
          <w:rFonts w:cs="Open Sans"/>
        </w:rPr>
      </w:pPr>
      <w:r w:rsidRPr="00007314">
        <w:rPr>
          <w:rFonts w:cs="Open Sans"/>
        </w:rPr>
        <w:t>Wykonawca może złożyć</w:t>
      </w:r>
      <w:r w:rsidR="00AD0AB9" w:rsidRPr="00007314">
        <w:rPr>
          <w:rFonts w:cs="Open Sans"/>
        </w:rPr>
        <w:t xml:space="preserve"> tylko</w:t>
      </w:r>
      <w:r w:rsidRPr="00007314">
        <w:rPr>
          <w:rFonts w:cs="Open Sans"/>
        </w:rPr>
        <w:t xml:space="preserve"> jedną ofertę</w:t>
      </w:r>
      <w:r w:rsidR="0062320F" w:rsidRPr="00007314">
        <w:rPr>
          <w:rFonts w:cs="Open Sans"/>
        </w:rPr>
        <w:t xml:space="preserve"> na daną część zamówienia. </w:t>
      </w:r>
    </w:p>
    <w:p w14:paraId="1CC98B42" w14:textId="77777777" w:rsidR="005E41F0" w:rsidRPr="00007314" w:rsidRDefault="0062320F" w:rsidP="002D21E8">
      <w:pPr>
        <w:pStyle w:val="Akapitzlist"/>
        <w:numPr>
          <w:ilvl w:val="0"/>
          <w:numId w:val="12"/>
        </w:numPr>
        <w:spacing w:after="0" w:line="276" w:lineRule="auto"/>
        <w:ind w:left="993" w:hanging="284"/>
        <w:jc w:val="both"/>
        <w:rPr>
          <w:rFonts w:cs="Open Sans"/>
        </w:rPr>
      </w:pPr>
      <w:r w:rsidRPr="00007314">
        <w:rPr>
          <w:rFonts w:cs="Open Sans"/>
        </w:rPr>
        <w:t xml:space="preserve">Wykonawca może złożyć oferty na dowolną liczbę części zamówienia. </w:t>
      </w:r>
    </w:p>
    <w:p w14:paraId="61FC9453" w14:textId="0988D657" w:rsidR="008F4D07" w:rsidRPr="00007314" w:rsidRDefault="0062320F" w:rsidP="002D21E8">
      <w:pPr>
        <w:pStyle w:val="Akapitzlist"/>
        <w:numPr>
          <w:ilvl w:val="0"/>
          <w:numId w:val="12"/>
        </w:numPr>
        <w:spacing w:after="0" w:line="276" w:lineRule="auto"/>
        <w:ind w:left="993" w:hanging="284"/>
        <w:jc w:val="both"/>
        <w:rPr>
          <w:rFonts w:cs="Open Sans"/>
        </w:rPr>
      </w:pPr>
      <w:r w:rsidRPr="00007314">
        <w:rPr>
          <w:rFonts w:cs="Open Sans"/>
        </w:rPr>
        <w:t xml:space="preserve">Zamówienie może zostać udzielone </w:t>
      </w:r>
      <w:r w:rsidR="005E41F0" w:rsidRPr="00007314">
        <w:rPr>
          <w:rFonts w:cs="Open Sans"/>
        </w:rPr>
        <w:t>temu samemu</w:t>
      </w:r>
      <w:r w:rsidRPr="00007314">
        <w:rPr>
          <w:rFonts w:cs="Open Sans"/>
        </w:rPr>
        <w:t xml:space="preserve"> wykonawcy na dowolną liczbę części zamówienia.</w:t>
      </w:r>
    </w:p>
    <w:p w14:paraId="3E15CD71" w14:textId="5C6104AA" w:rsidR="00007314" w:rsidRPr="00007314" w:rsidRDefault="00007314" w:rsidP="007D22BC">
      <w:pPr>
        <w:pStyle w:val="Akapitzlist"/>
        <w:numPr>
          <w:ilvl w:val="0"/>
          <w:numId w:val="12"/>
        </w:numPr>
        <w:spacing w:after="0" w:line="276" w:lineRule="auto"/>
        <w:jc w:val="both"/>
        <w:rPr>
          <w:rFonts w:cs="Open Sans"/>
        </w:rPr>
      </w:pPr>
      <w:r w:rsidRPr="00007314">
        <w:rPr>
          <w:rFonts w:cs="Open Sans"/>
        </w:rPr>
        <w:t>W przypadku składania ofert na więcej, niż jedną część zamówienia, na każdą część zamówienia należy złożyć odrębną ofertę.</w:t>
      </w:r>
    </w:p>
    <w:p w14:paraId="31D310C4" w14:textId="61937FE0" w:rsidR="008F4D07" w:rsidRDefault="008F4D07" w:rsidP="002D21E8">
      <w:pPr>
        <w:pStyle w:val="Akapitzlist"/>
        <w:numPr>
          <w:ilvl w:val="0"/>
          <w:numId w:val="12"/>
        </w:numPr>
        <w:spacing w:after="0" w:line="276" w:lineRule="auto"/>
        <w:ind w:left="993" w:hanging="284"/>
        <w:jc w:val="both"/>
        <w:rPr>
          <w:rFonts w:cs="Open Sans"/>
        </w:rPr>
      </w:pPr>
      <w:r w:rsidRPr="00007314">
        <w:rPr>
          <w:rFonts w:cs="Open Sans"/>
        </w:rPr>
        <w:t>Ofertę składa się, pod rygorem nieważności, w formie pisemnej.</w:t>
      </w:r>
    </w:p>
    <w:p w14:paraId="729D9E05" w14:textId="36C6AEFB" w:rsidR="007D22BC" w:rsidRPr="00007314" w:rsidRDefault="007D22BC" w:rsidP="002D21E8">
      <w:pPr>
        <w:pStyle w:val="Akapitzlist"/>
        <w:numPr>
          <w:ilvl w:val="0"/>
          <w:numId w:val="12"/>
        </w:numPr>
        <w:spacing w:after="0" w:line="276" w:lineRule="auto"/>
        <w:ind w:left="993" w:hanging="284"/>
        <w:jc w:val="both"/>
        <w:rPr>
          <w:rFonts w:cs="Open Sans"/>
        </w:rPr>
      </w:pPr>
      <w:r>
        <w:rPr>
          <w:rFonts w:cs="Open Sans"/>
        </w:rPr>
        <w:t>Wraz z ofertą Wykonawca zobowiązany jest złożyć Ogólne Warunki Ubezpieczeń, które będą miały zastosowanie do umowy.</w:t>
      </w:r>
    </w:p>
    <w:p w14:paraId="0937048D" w14:textId="77777777" w:rsidR="008F4D07" w:rsidRPr="00007314" w:rsidRDefault="008F4D07" w:rsidP="002D21E8">
      <w:pPr>
        <w:pStyle w:val="Akapitzlist"/>
        <w:numPr>
          <w:ilvl w:val="0"/>
          <w:numId w:val="12"/>
        </w:numPr>
        <w:spacing w:after="0" w:line="276" w:lineRule="auto"/>
        <w:ind w:left="993" w:hanging="284"/>
        <w:jc w:val="both"/>
        <w:rPr>
          <w:rFonts w:cs="Open Sans"/>
        </w:rPr>
      </w:pPr>
      <w:r w:rsidRPr="00007314">
        <w:rPr>
          <w:rFonts w:cs="Open Sans"/>
        </w:rPr>
        <w:t>Treść oferty musi odpowiadać treści Specyfikacji Istotnych Warunków Zamówienia.</w:t>
      </w:r>
    </w:p>
    <w:p w14:paraId="516BF412" w14:textId="28584167" w:rsidR="008F4D07" w:rsidRPr="00007314" w:rsidRDefault="008F4D07" w:rsidP="002D21E8">
      <w:pPr>
        <w:pStyle w:val="Akapitzlist"/>
        <w:numPr>
          <w:ilvl w:val="0"/>
          <w:numId w:val="12"/>
        </w:numPr>
        <w:spacing w:after="0" w:line="276" w:lineRule="auto"/>
        <w:ind w:left="993" w:hanging="284"/>
        <w:jc w:val="both"/>
        <w:rPr>
          <w:rFonts w:cs="Open Sans"/>
          <w:u w:val="single"/>
        </w:rPr>
      </w:pPr>
      <w:r w:rsidRPr="00007314">
        <w:rPr>
          <w:rFonts w:cs="Open Sans"/>
        </w:rPr>
        <w:t>Dla ułatwienia przygotowania oferty Zamawiający opracował wzory: formularza oferty, oświadczenia o niepodleganiu wykluczeniu oraz o spełnieniu warunków udziału w postępowaniu, oraz informacji o przynależności do grupy kapitałowej, które stanowią odpowiednio załączniki nr 1, 2, 3</w:t>
      </w:r>
      <w:r w:rsidR="00C42938" w:rsidRPr="00007314">
        <w:rPr>
          <w:rFonts w:cs="Open Sans"/>
        </w:rPr>
        <w:t xml:space="preserve"> </w:t>
      </w:r>
      <w:r w:rsidRPr="00007314">
        <w:rPr>
          <w:rFonts w:cs="Open Sans"/>
        </w:rPr>
        <w:t>do Specyfikacji Istotnych Warunków Zamówienia.</w:t>
      </w:r>
      <w:r w:rsidR="004A12A8" w:rsidRPr="00007314">
        <w:rPr>
          <w:rFonts w:cs="Open Sans"/>
        </w:rPr>
        <w:t xml:space="preserve"> </w:t>
      </w:r>
      <w:r w:rsidR="004A12A8" w:rsidRPr="00007314">
        <w:rPr>
          <w:rFonts w:cs="Open Sans"/>
          <w:u w:val="single"/>
        </w:rPr>
        <w:t>Wykonawca może złożyć ofertę na swoich formularzach z zastrzeżeniem, że będą one zawierać wszystkie niezbędne informacje określone przez Zamawiającego.</w:t>
      </w:r>
    </w:p>
    <w:p w14:paraId="357F34A6" w14:textId="77777777" w:rsidR="00C855E4" w:rsidRPr="00007314" w:rsidRDefault="00C855E4" w:rsidP="002D21E8">
      <w:pPr>
        <w:pStyle w:val="Akapitzlist"/>
        <w:numPr>
          <w:ilvl w:val="0"/>
          <w:numId w:val="12"/>
        </w:numPr>
        <w:spacing w:after="0" w:line="276" w:lineRule="auto"/>
        <w:ind w:left="993" w:hanging="284"/>
        <w:jc w:val="both"/>
        <w:rPr>
          <w:rFonts w:cs="Open Sans"/>
        </w:rPr>
      </w:pPr>
      <w:r w:rsidRPr="00007314">
        <w:rPr>
          <w:rFonts w:cs="Open Sans"/>
        </w:rPr>
        <w:t>Wykonawca składa ofertę w dwóch zaklejonych kopertach:</w:t>
      </w:r>
    </w:p>
    <w:p w14:paraId="6C13A389" w14:textId="2F68D890" w:rsidR="00FF79B9" w:rsidRPr="00007314" w:rsidRDefault="00FF79B9" w:rsidP="002D21E8">
      <w:pPr>
        <w:pStyle w:val="Akapitzlist"/>
        <w:numPr>
          <w:ilvl w:val="1"/>
          <w:numId w:val="12"/>
        </w:numPr>
        <w:spacing w:after="0" w:line="276" w:lineRule="auto"/>
        <w:jc w:val="both"/>
        <w:rPr>
          <w:rFonts w:cs="Open Sans"/>
        </w:rPr>
      </w:pPr>
      <w:r w:rsidRPr="00007314">
        <w:rPr>
          <w:rFonts w:cs="Open Sans"/>
        </w:rPr>
        <w:t>zewnętrznej, opisanej w sposób następujący: -</w:t>
      </w:r>
      <w:r w:rsidRPr="00007314">
        <w:rPr>
          <w:rFonts w:eastAsia="Times New Roman" w:cs="Open Sans"/>
          <w:lang w:eastAsia="pl-PL"/>
        </w:rPr>
        <w:t xml:space="preserve"> </w:t>
      </w:r>
      <w:r w:rsidRPr="00007314">
        <w:rPr>
          <w:rFonts w:cs="Open Sans"/>
          <w:i/>
        </w:rPr>
        <w:t xml:space="preserve">Oferta: </w:t>
      </w:r>
      <w:r w:rsidR="00903381" w:rsidRPr="00007314">
        <w:rPr>
          <w:rFonts w:cs="Open Sans"/>
        </w:rPr>
        <w:t xml:space="preserve">„Ubezpieczenia mienia, odpowiedzialności cywilnej z tytułu prowadzonej działalności, </w:t>
      </w:r>
      <w:r w:rsidR="00903381" w:rsidRPr="00007314">
        <w:rPr>
          <w:rFonts w:cs="Open Sans"/>
        </w:rPr>
        <w:lastRenderedPageBreak/>
        <w:t>ubezpieczeń komunikacyjnych, ubezpieczenia odpowiedzialności cywilnej członków władz spółki”</w:t>
      </w:r>
      <w:r w:rsidR="004866C8" w:rsidRPr="00007314">
        <w:rPr>
          <w:rFonts w:cs="Open Sans"/>
          <w:i/>
        </w:rPr>
        <w:t xml:space="preserve"> </w:t>
      </w:r>
      <w:r w:rsidR="00005465" w:rsidRPr="00007314">
        <w:rPr>
          <w:rFonts w:cs="Open Sans"/>
          <w:i/>
        </w:rPr>
        <w:t>PN/</w:t>
      </w:r>
      <w:r w:rsidR="00E83B60">
        <w:rPr>
          <w:rFonts w:cs="Open Sans"/>
          <w:i/>
        </w:rPr>
        <w:t>5</w:t>
      </w:r>
      <w:r w:rsidR="00005465" w:rsidRPr="00007314">
        <w:rPr>
          <w:rFonts w:cs="Open Sans"/>
          <w:i/>
        </w:rPr>
        <w:t>/</w:t>
      </w:r>
      <w:r w:rsidR="004A12A8" w:rsidRPr="00007314">
        <w:rPr>
          <w:rFonts w:cs="Open Sans"/>
          <w:i/>
        </w:rPr>
        <w:t>20</w:t>
      </w:r>
      <w:r w:rsidR="00E83B60">
        <w:rPr>
          <w:rFonts w:cs="Open Sans"/>
          <w:i/>
        </w:rPr>
        <w:t>20</w:t>
      </w:r>
      <w:r w:rsidR="00A37AE0" w:rsidRPr="00007314">
        <w:rPr>
          <w:rFonts w:cs="Open Sans"/>
          <w:i/>
        </w:rPr>
        <w:t xml:space="preserve"> – </w:t>
      </w:r>
      <w:r w:rsidR="005B4D91">
        <w:rPr>
          <w:rFonts w:cs="Open Sans"/>
          <w:i/>
        </w:rPr>
        <w:t>Zadanie</w:t>
      </w:r>
      <w:r w:rsidR="005B4D91" w:rsidRPr="00007314">
        <w:rPr>
          <w:rFonts w:cs="Open Sans"/>
          <w:i/>
        </w:rPr>
        <w:t xml:space="preserve"> </w:t>
      </w:r>
      <w:r w:rsidR="00A37AE0" w:rsidRPr="00007314">
        <w:rPr>
          <w:rFonts w:cs="Open Sans"/>
          <w:i/>
        </w:rPr>
        <w:t>…..</w:t>
      </w:r>
      <w:r w:rsidR="0072214D" w:rsidRPr="00007314">
        <w:rPr>
          <w:rFonts w:cs="Open Sans"/>
          <w:i/>
        </w:rPr>
        <w:t>;</w:t>
      </w:r>
    </w:p>
    <w:p w14:paraId="4875B9CD" w14:textId="6DC276AD" w:rsidR="00AF612B" w:rsidRPr="00007314" w:rsidRDefault="00FF79B9" w:rsidP="00AF612B">
      <w:pPr>
        <w:pStyle w:val="Akapitzlist"/>
        <w:numPr>
          <w:ilvl w:val="1"/>
          <w:numId w:val="12"/>
        </w:numPr>
        <w:spacing w:after="0" w:line="276" w:lineRule="auto"/>
        <w:jc w:val="both"/>
        <w:rPr>
          <w:rFonts w:cs="Open Sans"/>
        </w:rPr>
      </w:pPr>
      <w:r w:rsidRPr="00007314">
        <w:rPr>
          <w:rFonts w:cs="Open Sans"/>
        </w:rPr>
        <w:t xml:space="preserve">wewnętrznej, opisanej w sposób następujący - </w:t>
      </w:r>
      <w:r w:rsidRPr="00007314">
        <w:rPr>
          <w:rFonts w:cs="Open Sans"/>
          <w:i/>
        </w:rPr>
        <w:t xml:space="preserve">Oferta: </w:t>
      </w:r>
      <w:r w:rsidR="00903381" w:rsidRPr="00007314">
        <w:rPr>
          <w:rFonts w:cs="Open Sans"/>
        </w:rPr>
        <w:t>„Ubezpieczenia mienia, odpowiedzialności cywilnej z tytułu prowadzonej działalności, ubezpieczeń komunikacyjnych, ubezpieczenia odpowiedzialności cywilnej członków władz spółki”</w:t>
      </w:r>
      <w:r w:rsidR="00903381" w:rsidRPr="00007314">
        <w:rPr>
          <w:rFonts w:cs="Open Sans"/>
          <w:i/>
        </w:rPr>
        <w:t xml:space="preserve"> PN/</w:t>
      </w:r>
      <w:r w:rsidR="00E83B60">
        <w:rPr>
          <w:rFonts w:cs="Open Sans"/>
          <w:i/>
        </w:rPr>
        <w:t>5</w:t>
      </w:r>
      <w:r w:rsidR="00903381" w:rsidRPr="00007314">
        <w:rPr>
          <w:rFonts w:cs="Open Sans"/>
          <w:i/>
        </w:rPr>
        <w:t>/20</w:t>
      </w:r>
      <w:r w:rsidR="00E83B60">
        <w:rPr>
          <w:rFonts w:cs="Open Sans"/>
          <w:i/>
        </w:rPr>
        <w:t>20</w:t>
      </w:r>
      <w:r w:rsidR="00903381" w:rsidRPr="00007314">
        <w:rPr>
          <w:rFonts w:cs="Open Sans"/>
          <w:i/>
        </w:rPr>
        <w:t xml:space="preserve"> </w:t>
      </w:r>
      <w:r w:rsidR="00A37AE0" w:rsidRPr="00007314">
        <w:rPr>
          <w:rFonts w:cs="Open Sans"/>
          <w:i/>
        </w:rPr>
        <w:t xml:space="preserve">– </w:t>
      </w:r>
      <w:r w:rsidR="005B4D91">
        <w:rPr>
          <w:rFonts w:cs="Open Sans"/>
          <w:i/>
        </w:rPr>
        <w:t>Zadanie</w:t>
      </w:r>
      <w:r w:rsidR="00A37AE0" w:rsidRPr="00007314">
        <w:rPr>
          <w:rFonts w:cs="Open Sans"/>
          <w:i/>
        </w:rPr>
        <w:t xml:space="preserve"> ….. </w:t>
      </w:r>
      <w:r w:rsidRPr="00007314">
        <w:rPr>
          <w:rFonts w:cs="Open Sans"/>
        </w:rPr>
        <w:t xml:space="preserve">oraz nazwa i adres </w:t>
      </w:r>
      <w:r w:rsidR="00136954" w:rsidRPr="00007314">
        <w:rPr>
          <w:rFonts w:cs="Open Sans"/>
        </w:rPr>
        <w:t>W</w:t>
      </w:r>
      <w:r w:rsidRPr="00007314">
        <w:rPr>
          <w:rFonts w:cs="Open Sans"/>
        </w:rPr>
        <w:t>ykonawcy.</w:t>
      </w:r>
    </w:p>
    <w:p w14:paraId="6765D133" w14:textId="77777777" w:rsidR="004A12A8" w:rsidRPr="00007314" w:rsidRDefault="004A12A8" w:rsidP="00AF612B">
      <w:pPr>
        <w:pStyle w:val="Akapitzlist"/>
        <w:numPr>
          <w:ilvl w:val="0"/>
          <w:numId w:val="12"/>
        </w:numPr>
        <w:spacing w:after="0" w:line="276" w:lineRule="auto"/>
        <w:ind w:left="993" w:hanging="284"/>
        <w:jc w:val="both"/>
        <w:rPr>
          <w:rFonts w:cs="Open Sans"/>
        </w:rPr>
      </w:pPr>
      <w:r w:rsidRPr="00007314">
        <w:rPr>
          <w:rFonts w:cs="Open Sans"/>
        </w:rPr>
        <w:t>Zamawiający żąda wskazania przez Wykonawcę w ofercie części zamówienia, której lub których wykonanie zamierza powierzyć podwykonawcy lub podwykonawcom i podania przez Wykonawcę firm podwykonawców.</w:t>
      </w:r>
    </w:p>
    <w:p w14:paraId="481788AA" w14:textId="77777777" w:rsidR="00AF612B" w:rsidRPr="00007314" w:rsidRDefault="00AF612B" w:rsidP="00AF612B">
      <w:pPr>
        <w:pStyle w:val="Akapitzlist"/>
        <w:spacing w:after="0" w:line="276" w:lineRule="auto"/>
        <w:ind w:left="993"/>
        <w:jc w:val="both"/>
        <w:rPr>
          <w:rFonts w:cs="Open Sans"/>
        </w:rPr>
      </w:pPr>
    </w:p>
    <w:p w14:paraId="49E2B441" w14:textId="77777777" w:rsidR="00AF612B" w:rsidRPr="00007314" w:rsidRDefault="00AF612B" w:rsidP="00AF612B">
      <w:pPr>
        <w:pStyle w:val="Akapitzlist"/>
        <w:spacing w:after="0" w:line="276" w:lineRule="auto"/>
        <w:ind w:left="993"/>
        <w:jc w:val="both"/>
        <w:rPr>
          <w:rFonts w:cs="Open Sans"/>
        </w:rPr>
      </w:pPr>
    </w:p>
    <w:p w14:paraId="7A8C43B7" w14:textId="77777777" w:rsidR="005B6688" w:rsidRPr="00007314" w:rsidRDefault="0072214D" w:rsidP="00CF2FDA">
      <w:pPr>
        <w:pStyle w:val="Akapitzlist"/>
        <w:numPr>
          <w:ilvl w:val="0"/>
          <w:numId w:val="2"/>
        </w:numPr>
        <w:spacing w:after="0" w:line="276" w:lineRule="auto"/>
        <w:jc w:val="both"/>
        <w:rPr>
          <w:rFonts w:cs="Open Sans"/>
          <w:b/>
        </w:rPr>
      </w:pPr>
      <w:r w:rsidRPr="00007314">
        <w:rPr>
          <w:rFonts w:cs="Open Sans"/>
          <w:b/>
        </w:rPr>
        <w:t>MIEJSCE ORAZ TERMIN SKŁADANIA I OTWARCIA OFERT</w:t>
      </w:r>
    </w:p>
    <w:p w14:paraId="720EB9B7" w14:textId="392E4659" w:rsidR="00FF79B9" w:rsidRPr="001E512C" w:rsidRDefault="00FF79B9" w:rsidP="002D21E8">
      <w:pPr>
        <w:pStyle w:val="Akapitzlist"/>
        <w:numPr>
          <w:ilvl w:val="0"/>
          <w:numId w:val="3"/>
        </w:numPr>
        <w:spacing w:after="0" w:line="276" w:lineRule="auto"/>
        <w:ind w:left="993" w:hanging="284"/>
        <w:jc w:val="both"/>
        <w:rPr>
          <w:rFonts w:cs="Open Sans"/>
        </w:rPr>
      </w:pPr>
      <w:r w:rsidRPr="00007314">
        <w:rPr>
          <w:rFonts w:cs="Open Sans"/>
        </w:rPr>
        <w:t xml:space="preserve">Oferty należy składać w </w:t>
      </w:r>
      <w:r w:rsidR="00C62BD0" w:rsidRPr="00007314">
        <w:rPr>
          <w:rFonts w:cs="Open Sans"/>
        </w:rPr>
        <w:t>biurze</w:t>
      </w:r>
      <w:r w:rsidRPr="00007314">
        <w:rPr>
          <w:rFonts w:cs="Open Sans"/>
        </w:rPr>
        <w:t xml:space="preserve"> Spółki Gdańskie </w:t>
      </w:r>
      <w:r w:rsidRPr="001E512C">
        <w:rPr>
          <w:rFonts w:cs="Open Sans"/>
        </w:rPr>
        <w:t xml:space="preserve">Usługi Komunalne Sp. z o.o. w Gdańsku, ul. </w:t>
      </w:r>
      <w:r w:rsidR="00C62BD0" w:rsidRPr="001E512C">
        <w:rPr>
          <w:rFonts w:cs="Open Sans"/>
        </w:rPr>
        <w:t xml:space="preserve">Konna 35, 80-174 Otomin </w:t>
      </w:r>
      <w:r w:rsidRPr="001E512C">
        <w:rPr>
          <w:rFonts w:cs="Open Sans"/>
        </w:rPr>
        <w:t>w terminie do dnia:</w:t>
      </w:r>
      <w:r w:rsidR="00F72DCC" w:rsidRPr="001E512C">
        <w:rPr>
          <w:rFonts w:cs="Open Sans"/>
        </w:rPr>
        <w:t xml:space="preserve"> </w:t>
      </w:r>
      <w:r w:rsidR="00662BBD" w:rsidRPr="001E512C">
        <w:rPr>
          <w:rFonts w:cs="Open Sans"/>
        </w:rPr>
        <w:t xml:space="preserve"> </w:t>
      </w:r>
      <w:r w:rsidR="001E512C" w:rsidRPr="001E512C">
        <w:rPr>
          <w:rFonts w:cs="Open Sans"/>
        </w:rPr>
        <w:t>2</w:t>
      </w:r>
      <w:r w:rsidR="00E83B60">
        <w:rPr>
          <w:rFonts w:cs="Open Sans"/>
        </w:rPr>
        <w:t>0</w:t>
      </w:r>
      <w:r w:rsidR="00C27231" w:rsidRPr="001E512C">
        <w:rPr>
          <w:rFonts w:cs="Open Sans"/>
        </w:rPr>
        <w:t>.0</w:t>
      </w:r>
      <w:r w:rsidR="00903381" w:rsidRPr="001E512C">
        <w:rPr>
          <w:rFonts w:cs="Open Sans"/>
        </w:rPr>
        <w:t>1</w:t>
      </w:r>
      <w:r w:rsidR="00662BBD" w:rsidRPr="001E512C">
        <w:rPr>
          <w:rFonts w:cs="Open Sans"/>
        </w:rPr>
        <w:t>.</w:t>
      </w:r>
      <w:r w:rsidR="004A12A8" w:rsidRPr="001E512C">
        <w:rPr>
          <w:rFonts w:cs="Open Sans"/>
        </w:rPr>
        <w:t>20</w:t>
      </w:r>
      <w:r w:rsidR="00E83B60">
        <w:rPr>
          <w:rFonts w:cs="Open Sans"/>
        </w:rPr>
        <w:t>20</w:t>
      </w:r>
      <w:r w:rsidR="004A12A8" w:rsidRPr="001E512C">
        <w:rPr>
          <w:rFonts w:cs="Open Sans"/>
        </w:rPr>
        <w:t xml:space="preserve"> </w:t>
      </w:r>
      <w:r w:rsidR="008E0329" w:rsidRPr="001E512C">
        <w:rPr>
          <w:rFonts w:cs="Open Sans"/>
        </w:rPr>
        <w:t>r.</w:t>
      </w:r>
      <w:r w:rsidRPr="001E512C">
        <w:rPr>
          <w:rFonts w:cs="Open Sans"/>
        </w:rPr>
        <w:t xml:space="preserve"> do godziny 1</w:t>
      </w:r>
      <w:r w:rsidR="00E83B60">
        <w:rPr>
          <w:rFonts w:cs="Open Sans"/>
        </w:rPr>
        <w:t>1</w:t>
      </w:r>
      <w:r w:rsidRPr="001E512C">
        <w:rPr>
          <w:rFonts w:cs="Open Sans"/>
        </w:rPr>
        <w:t>:00.</w:t>
      </w:r>
    </w:p>
    <w:p w14:paraId="39F79399" w14:textId="1DDF84FF" w:rsidR="00FF79B9" w:rsidRPr="00007314" w:rsidRDefault="00FF79B9" w:rsidP="00AF612B">
      <w:pPr>
        <w:pStyle w:val="Akapitzlist"/>
        <w:numPr>
          <w:ilvl w:val="0"/>
          <w:numId w:val="3"/>
        </w:numPr>
        <w:spacing w:line="276" w:lineRule="auto"/>
        <w:ind w:left="993" w:hanging="284"/>
        <w:jc w:val="both"/>
        <w:rPr>
          <w:rFonts w:cs="Open Sans"/>
        </w:rPr>
      </w:pPr>
      <w:r w:rsidRPr="001E512C">
        <w:rPr>
          <w:rFonts w:cs="Open Sans"/>
        </w:rPr>
        <w:t xml:space="preserve">Oferty zostaną otwarte w </w:t>
      </w:r>
      <w:r w:rsidR="00C62BD0" w:rsidRPr="001E512C">
        <w:rPr>
          <w:rFonts w:cs="Open Sans"/>
        </w:rPr>
        <w:t>biurze</w:t>
      </w:r>
      <w:r w:rsidRPr="001E512C">
        <w:rPr>
          <w:rFonts w:cs="Open Sans"/>
        </w:rPr>
        <w:t xml:space="preserve"> Spółki Gdańskie Usługi Komunalne Sp. z o.o. w Gdańsku, ul. </w:t>
      </w:r>
      <w:r w:rsidR="00C62BD0" w:rsidRPr="001E512C">
        <w:rPr>
          <w:rFonts w:cs="Open Sans"/>
        </w:rPr>
        <w:t>Konna 35, 80-174 Otomin</w:t>
      </w:r>
      <w:r w:rsidRPr="001E512C">
        <w:rPr>
          <w:rFonts w:cs="Open Sans"/>
        </w:rPr>
        <w:t xml:space="preserve"> w dniu</w:t>
      </w:r>
      <w:r w:rsidR="004B3990" w:rsidRPr="001E512C">
        <w:rPr>
          <w:rFonts w:cs="Open Sans"/>
        </w:rPr>
        <w:t>:</w:t>
      </w:r>
      <w:r w:rsidR="00972382" w:rsidRPr="001E512C">
        <w:rPr>
          <w:rFonts w:cs="Open Sans"/>
        </w:rPr>
        <w:t xml:space="preserve"> </w:t>
      </w:r>
      <w:r w:rsidR="001E512C" w:rsidRPr="001E512C">
        <w:rPr>
          <w:rFonts w:cs="Open Sans"/>
        </w:rPr>
        <w:t>2</w:t>
      </w:r>
      <w:r w:rsidR="00E83B60">
        <w:rPr>
          <w:rFonts w:cs="Open Sans"/>
        </w:rPr>
        <w:t>0</w:t>
      </w:r>
      <w:r w:rsidR="00C27231" w:rsidRPr="001E512C">
        <w:rPr>
          <w:rFonts w:cs="Open Sans"/>
        </w:rPr>
        <w:t>.0</w:t>
      </w:r>
      <w:r w:rsidR="00903381" w:rsidRPr="001E512C">
        <w:rPr>
          <w:rFonts w:cs="Open Sans"/>
        </w:rPr>
        <w:t>1</w:t>
      </w:r>
      <w:r w:rsidR="00972382" w:rsidRPr="001E512C">
        <w:rPr>
          <w:rFonts w:cs="Open Sans"/>
        </w:rPr>
        <w:t>.</w:t>
      </w:r>
      <w:r w:rsidR="004A12A8" w:rsidRPr="001E512C">
        <w:rPr>
          <w:rFonts w:cs="Open Sans"/>
        </w:rPr>
        <w:t>20</w:t>
      </w:r>
      <w:r w:rsidR="00E83B60">
        <w:rPr>
          <w:rFonts w:cs="Open Sans"/>
        </w:rPr>
        <w:t>20</w:t>
      </w:r>
      <w:r w:rsidR="004A12A8" w:rsidRPr="001E512C">
        <w:rPr>
          <w:rFonts w:cs="Open Sans"/>
        </w:rPr>
        <w:t xml:space="preserve"> </w:t>
      </w:r>
      <w:r w:rsidR="008E0329" w:rsidRPr="001E512C">
        <w:rPr>
          <w:rFonts w:cs="Open Sans"/>
        </w:rPr>
        <w:t>r.</w:t>
      </w:r>
      <w:r w:rsidRPr="001E512C">
        <w:rPr>
          <w:rFonts w:cs="Open Sans"/>
        </w:rPr>
        <w:t xml:space="preserve"> o godzinie</w:t>
      </w:r>
      <w:r w:rsidRPr="00007314">
        <w:rPr>
          <w:rFonts w:cs="Open Sans"/>
        </w:rPr>
        <w:t xml:space="preserve"> 1</w:t>
      </w:r>
      <w:r w:rsidR="00E83B60">
        <w:rPr>
          <w:rFonts w:cs="Open Sans"/>
        </w:rPr>
        <w:t>1</w:t>
      </w:r>
      <w:r w:rsidRPr="00007314">
        <w:rPr>
          <w:rFonts w:cs="Open Sans"/>
        </w:rPr>
        <w:t>:05.</w:t>
      </w:r>
    </w:p>
    <w:p w14:paraId="69E620A2" w14:textId="77777777" w:rsidR="007C72B4" w:rsidRPr="00007314" w:rsidRDefault="007C72B4" w:rsidP="00CF2FDA">
      <w:pPr>
        <w:pStyle w:val="Akapitzlist"/>
        <w:spacing w:after="0" w:line="276" w:lineRule="auto"/>
        <w:ind w:left="1440"/>
        <w:jc w:val="both"/>
        <w:rPr>
          <w:rFonts w:cs="Open Sans"/>
          <w:b/>
        </w:rPr>
      </w:pPr>
    </w:p>
    <w:p w14:paraId="3C7ECEB4" w14:textId="77777777" w:rsidR="00FF79B9" w:rsidRPr="00007314" w:rsidRDefault="0072214D" w:rsidP="00CF2FDA">
      <w:pPr>
        <w:pStyle w:val="Akapitzlist"/>
        <w:numPr>
          <w:ilvl w:val="0"/>
          <w:numId w:val="2"/>
        </w:numPr>
        <w:spacing w:after="0" w:line="276" w:lineRule="auto"/>
        <w:jc w:val="both"/>
        <w:rPr>
          <w:rFonts w:cs="Open Sans"/>
          <w:b/>
        </w:rPr>
      </w:pPr>
      <w:r w:rsidRPr="00007314">
        <w:rPr>
          <w:rFonts w:cs="Open Sans"/>
          <w:b/>
        </w:rPr>
        <w:t>OPIS SPOSOBU OBLICZENIA CENY</w:t>
      </w:r>
    </w:p>
    <w:p w14:paraId="67CC9FC9" w14:textId="77777777" w:rsidR="00FF79B9" w:rsidRPr="00007314" w:rsidRDefault="00FF79B9" w:rsidP="002D21E8">
      <w:pPr>
        <w:pStyle w:val="Akapitzlist"/>
        <w:numPr>
          <w:ilvl w:val="0"/>
          <w:numId w:val="4"/>
        </w:numPr>
        <w:spacing w:after="0" w:line="276" w:lineRule="auto"/>
        <w:ind w:left="993" w:hanging="284"/>
        <w:jc w:val="both"/>
        <w:rPr>
          <w:rFonts w:cs="Open Sans"/>
          <w:b/>
        </w:rPr>
      </w:pPr>
      <w:r w:rsidRPr="00007314">
        <w:rPr>
          <w:rFonts w:cs="Open Sans"/>
        </w:rPr>
        <w:t xml:space="preserve">Wykonawca jest zobowiązany określić cenę ofertową za wykonanie przedmiotu zamówienia w oparciu o opis przedmiotu zamówienia oraz warunki realizacji zamówienia </w:t>
      </w:r>
      <w:r w:rsidR="00754642" w:rsidRPr="00007314">
        <w:rPr>
          <w:rFonts w:cs="Open Sans"/>
        </w:rPr>
        <w:t>określone</w:t>
      </w:r>
      <w:r w:rsidRPr="00007314">
        <w:rPr>
          <w:rFonts w:cs="Open Sans"/>
        </w:rPr>
        <w:t xml:space="preserve"> w SIWZ. Cena winna być obliczona ściśle według zapisów formularza </w:t>
      </w:r>
      <w:r w:rsidR="004A12A8" w:rsidRPr="00007314">
        <w:rPr>
          <w:rFonts w:cs="Open Sans"/>
        </w:rPr>
        <w:t>oferty</w:t>
      </w:r>
      <w:r w:rsidR="00764EAC" w:rsidRPr="00007314">
        <w:rPr>
          <w:rFonts w:cs="Open Sans"/>
        </w:rPr>
        <w:t>.</w:t>
      </w:r>
    </w:p>
    <w:p w14:paraId="301ADE67" w14:textId="77777777" w:rsidR="00FF79B9" w:rsidRPr="00007314" w:rsidRDefault="00FF79B9" w:rsidP="002D21E8">
      <w:pPr>
        <w:pStyle w:val="Akapitzlist"/>
        <w:numPr>
          <w:ilvl w:val="0"/>
          <w:numId w:val="4"/>
        </w:numPr>
        <w:spacing w:after="0" w:line="276" w:lineRule="auto"/>
        <w:ind w:left="993" w:hanging="284"/>
        <w:jc w:val="both"/>
        <w:rPr>
          <w:rFonts w:cs="Open Sans"/>
          <w:b/>
        </w:rPr>
      </w:pPr>
      <w:r w:rsidRPr="00007314">
        <w:rPr>
          <w:rFonts w:cs="Open Sans"/>
        </w:rPr>
        <w:t xml:space="preserve">Oferowana cena za wykonanie przedmiotu zamówienia stanowić będzie wynagrodzenie ryczałtowe i obejmować będzie wszelkie koszty związane z kompleksowym wykonaniem przedmiotu zamówienia. </w:t>
      </w:r>
      <w:r w:rsidR="004A12A8" w:rsidRPr="00007314">
        <w:rPr>
          <w:rFonts w:cs="Open Sans"/>
        </w:rPr>
        <w:t>Nie dopuszcza się podawania w ofercie ceny z zastosowaniem upustu.</w:t>
      </w:r>
    </w:p>
    <w:p w14:paraId="11D2DCFA" w14:textId="77777777" w:rsidR="002B1EED" w:rsidRPr="00007314" w:rsidRDefault="002B1EED" w:rsidP="002D21E8">
      <w:pPr>
        <w:pStyle w:val="Akapitzlist"/>
        <w:numPr>
          <w:ilvl w:val="0"/>
          <w:numId w:val="4"/>
        </w:numPr>
        <w:spacing w:line="276" w:lineRule="auto"/>
        <w:ind w:left="993" w:hanging="284"/>
        <w:jc w:val="both"/>
        <w:rPr>
          <w:rFonts w:cs="Open Sans"/>
        </w:rPr>
      </w:pPr>
      <w:r w:rsidRPr="00007314">
        <w:rPr>
          <w:rFonts w:cs="Open Sans"/>
        </w:rPr>
        <w:t xml:space="preserve">Cena powinna być podana w złotych polskich, w kwocie brutto ze wskazaniem wartości </w:t>
      </w:r>
      <w:r w:rsidR="00754642" w:rsidRPr="00007314">
        <w:rPr>
          <w:rFonts w:cs="Open Sans"/>
        </w:rPr>
        <w:t xml:space="preserve">i stawki </w:t>
      </w:r>
      <w:r w:rsidRPr="00007314">
        <w:rPr>
          <w:rFonts w:cs="Open Sans"/>
        </w:rPr>
        <w:t>podatku od towarów i usług oraz kwoty netto.</w:t>
      </w:r>
    </w:p>
    <w:p w14:paraId="61742834" w14:textId="77777777" w:rsidR="00C27231" w:rsidRPr="00007314" w:rsidRDefault="002B1EED" w:rsidP="00AF612B">
      <w:pPr>
        <w:pStyle w:val="Akapitzlist"/>
        <w:numPr>
          <w:ilvl w:val="0"/>
          <w:numId w:val="4"/>
        </w:numPr>
        <w:spacing w:line="276" w:lineRule="auto"/>
        <w:ind w:left="993" w:hanging="284"/>
        <w:jc w:val="both"/>
        <w:rPr>
          <w:rFonts w:cs="Open Sans"/>
        </w:rPr>
      </w:pPr>
      <w:r w:rsidRPr="00007314">
        <w:rPr>
          <w:rFonts w:cs="Open Sans"/>
        </w:rPr>
        <w:t>Cena podana w formularzu ofertowym nie będzie podlegać późniejszym zmianom z wyjątkiem przypadków wskazanych w Umowie.</w:t>
      </w:r>
    </w:p>
    <w:p w14:paraId="4037345F" w14:textId="77777777" w:rsidR="00AF612B" w:rsidRPr="00007314" w:rsidRDefault="00AF612B" w:rsidP="00AF612B">
      <w:pPr>
        <w:pStyle w:val="Akapitzlist"/>
        <w:spacing w:line="276" w:lineRule="auto"/>
        <w:ind w:left="993"/>
        <w:jc w:val="both"/>
        <w:rPr>
          <w:rFonts w:cs="Open Sans"/>
        </w:rPr>
      </w:pPr>
    </w:p>
    <w:p w14:paraId="20E1066B" w14:textId="77777777" w:rsidR="00FF79B9" w:rsidRPr="00007314" w:rsidRDefault="0072214D" w:rsidP="00CF2FDA">
      <w:pPr>
        <w:pStyle w:val="Akapitzlist"/>
        <w:numPr>
          <w:ilvl w:val="0"/>
          <w:numId w:val="2"/>
        </w:numPr>
        <w:spacing w:after="0" w:line="276" w:lineRule="auto"/>
        <w:jc w:val="both"/>
        <w:rPr>
          <w:rFonts w:cs="Open Sans"/>
          <w:b/>
        </w:rPr>
      </w:pPr>
      <w:r w:rsidRPr="00007314">
        <w:rPr>
          <w:rFonts w:cs="Open Sans"/>
          <w:b/>
        </w:rPr>
        <w:t>OPIS KRYTERIÓW, KTÓRYMI ZAMAWIAJĄCY BĘDZIE SIĘ KIEROWAŁ PRZY WYBORZE OFERTY, WRAZ Z PODANIEM WAG TYCH KRYTERIÓW I SPOSOBU OCENY OFERT</w:t>
      </w:r>
    </w:p>
    <w:p w14:paraId="73BFEB8B" w14:textId="77777777" w:rsidR="00764EAC" w:rsidRPr="00007314" w:rsidRDefault="00764EAC" w:rsidP="00764EAC">
      <w:pPr>
        <w:pStyle w:val="Akapitzlist"/>
        <w:spacing w:after="0" w:line="276" w:lineRule="auto"/>
        <w:jc w:val="both"/>
        <w:rPr>
          <w:rFonts w:cs="Open Sans"/>
          <w:b/>
        </w:rPr>
      </w:pPr>
    </w:p>
    <w:p w14:paraId="24BC27F0" w14:textId="77777777" w:rsidR="00AF612B" w:rsidRPr="00007314" w:rsidRDefault="00AF612B" w:rsidP="00AF612B">
      <w:pPr>
        <w:spacing w:before="120" w:after="120" w:line="240" w:lineRule="auto"/>
        <w:jc w:val="both"/>
        <w:rPr>
          <w:b/>
        </w:rPr>
      </w:pPr>
      <w:r w:rsidRPr="00007314">
        <w:rPr>
          <w:b/>
        </w:rPr>
        <w:t>Kryteria dla Zadania nr 1</w:t>
      </w:r>
    </w:p>
    <w:p w14:paraId="6154E027" w14:textId="77777777" w:rsidR="00AF612B" w:rsidRPr="00007314" w:rsidRDefault="00AF612B" w:rsidP="00AF612B">
      <w:pPr>
        <w:spacing w:before="120" w:after="120" w:line="240" w:lineRule="auto"/>
        <w:jc w:val="both"/>
      </w:pPr>
      <w:r w:rsidRPr="00007314">
        <w:t>Kryteria, którymi Zamawiający będzie kierował się przy wyborze oferty wraz z podaniem znaczenia (wag) tych kryteriów:</w:t>
      </w:r>
    </w:p>
    <w:p w14:paraId="10281A54" w14:textId="77777777" w:rsidR="00AF612B" w:rsidRPr="00007314" w:rsidRDefault="00AF612B" w:rsidP="00AF612B">
      <w:pPr>
        <w:numPr>
          <w:ilvl w:val="1"/>
          <w:numId w:val="33"/>
        </w:numPr>
        <w:spacing w:after="120" w:line="240" w:lineRule="auto"/>
        <w:jc w:val="both"/>
      </w:pPr>
      <w:r w:rsidRPr="00007314">
        <w:t>Cena oferty (C)</w:t>
      </w:r>
      <w:r w:rsidRPr="00007314">
        <w:tab/>
      </w:r>
      <w:r w:rsidRPr="00007314">
        <w:tab/>
      </w:r>
      <w:r w:rsidRPr="00007314">
        <w:tab/>
      </w:r>
      <w:r w:rsidRPr="00007314">
        <w:tab/>
      </w:r>
      <w:r w:rsidRPr="00007314">
        <w:tab/>
      </w:r>
      <w:r w:rsidRPr="00007314">
        <w:tab/>
      </w:r>
      <w:r w:rsidRPr="00007314">
        <w:tab/>
      </w:r>
      <w:r w:rsidRPr="00007314">
        <w:tab/>
      </w:r>
      <w:r w:rsidRPr="00007314">
        <w:tab/>
        <w:t>- 80%</w:t>
      </w:r>
    </w:p>
    <w:p w14:paraId="6D86BA0A" w14:textId="77777777" w:rsidR="00AF612B" w:rsidRPr="00007314" w:rsidRDefault="00AF612B" w:rsidP="00AF612B">
      <w:pPr>
        <w:numPr>
          <w:ilvl w:val="1"/>
          <w:numId w:val="33"/>
        </w:numPr>
        <w:spacing w:after="120" w:line="240" w:lineRule="auto"/>
        <w:jc w:val="both"/>
      </w:pPr>
      <w:r w:rsidRPr="00007314">
        <w:t>Warunki ubezpieczenia W (W= W1 + W2 + W3)</w:t>
      </w:r>
      <w:r w:rsidRPr="00007314">
        <w:tab/>
      </w:r>
      <w:r w:rsidRPr="00007314">
        <w:tab/>
      </w:r>
      <w:r w:rsidRPr="00007314">
        <w:tab/>
      </w:r>
      <w:r w:rsidRPr="00007314">
        <w:tab/>
      </w:r>
      <w:r w:rsidRPr="00007314">
        <w:tab/>
        <w:t>- 20%</w:t>
      </w:r>
    </w:p>
    <w:p w14:paraId="649C144E" w14:textId="77777777" w:rsidR="00AF612B" w:rsidRPr="00007314" w:rsidRDefault="00AF612B" w:rsidP="00AF612B">
      <w:pPr>
        <w:spacing w:after="120"/>
      </w:pPr>
      <w:r w:rsidRPr="00007314">
        <w:t>gdzie podane wyżej wagi procentowe są wagami punktowymi według zasady: jeden % = jeden pkt</w:t>
      </w:r>
    </w:p>
    <w:p w14:paraId="52C3EC25" w14:textId="77777777" w:rsidR="00AF612B" w:rsidRPr="00007314" w:rsidRDefault="00AF612B" w:rsidP="00AF612B">
      <w:pPr>
        <w:spacing w:after="120"/>
      </w:pPr>
    </w:p>
    <w:p w14:paraId="4147324A" w14:textId="77777777" w:rsidR="00AF612B" w:rsidRPr="00007314" w:rsidRDefault="00AF612B" w:rsidP="00AF612B">
      <w:pPr>
        <w:spacing w:after="120" w:line="240" w:lineRule="auto"/>
        <w:jc w:val="both"/>
      </w:pPr>
      <w:r w:rsidRPr="00007314">
        <w:t>Oferty będą oceniane przez Komisję Przetargową wg metody i kryteriów wskazanych poniżej:</w:t>
      </w:r>
    </w:p>
    <w:p w14:paraId="63611B78" w14:textId="77777777" w:rsidR="00AF612B" w:rsidRPr="00007314" w:rsidRDefault="00AF612B" w:rsidP="00AF612B">
      <w:pPr>
        <w:pStyle w:val="Akapitzlist"/>
        <w:numPr>
          <w:ilvl w:val="0"/>
          <w:numId w:val="38"/>
        </w:numPr>
        <w:spacing w:after="120" w:line="252" w:lineRule="auto"/>
        <w:jc w:val="both"/>
      </w:pPr>
      <w:r w:rsidRPr="00007314">
        <w:rPr>
          <w:b/>
        </w:rPr>
        <w:t xml:space="preserve">Kryterium “cena oferty” (wskaźnik oznaczony jako “C”) </w:t>
      </w:r>
      <w:r w:rsidRPr="00007314">
        <w:t xml:space="preserve">– oferta z najniższą ceną brutto uzyska 80 pkt. </w:t>
      </w:r>
    </w:p>
    <w:p w14:paraId="1F67BB97" w14:textId="77777777" w:rsidR="00AF612B" w:rsidRPr="00007314" w:rsidRDefault="00AF612B" w:rsidP="00AF612B">
      <w:pPr>
        <w:spacing w:after="120" w:line="252" w:lineRule="auto"/>
        <w:ind w:left="284" w:firstLine="76"/>
      </w:pPr>
      <w:r w:rsidRPr="00007314">
        <w:t>Pozostałe oferty otrzymają punkty w ilości odpowiednio mniejszej według następującego wzoru:</w:t>
      </w:r>
    </w:p>
    <w:p w14:paraId="69944008" w14:textId="77777777" w:rsidR="00AF612B" w:rsidRPr="00007314" w:rsidRDefault="00AF612B" w:rsidP="00AF612B">
      <w:pPr>
        <w:tabs>
          <w:tab w:val="left" w:pos="3969"/>
        </w:tabs>
        <w:spacing w:after="120"/>
        <w:jc w:val="center"/>
        <w:rPr>
          <w:b/>
        </w:rPr>
      </w:pPr>
      <w:r w:rsidRPr="00007314">
        <w:rPr>
          <w:b/>
        </w:rPr>
        <w:t>najniższa cena ofertowa</w:t>
      </w:r>
    </w:p>
    <w:p w14:paraId="77696B3D" w14:textId="77777777" w:rsidR="00AF612B" w:rsidRPr="00007314" w:rsidRDefault="00AF612B" w:rsidP="00AF612B">
      <w:pPr>
        <w:tabs>
          <w:tab w:val="left" w:pos="709"/>
          <w:tab w:val="left" w:pos="3969"/>
        </w:tabs>
        <w:spacing w:after="120"/>
        <w:jc w:val="center"/>
        <w:rPr>
          <w:b/>
        </w:rPr>
      </w:pPr>
      <w:r w:rsidRPr="00007314">
        <w:rPr>
          <w:b/>
        </w:rPr>
        <w:t>C = ---------------------------------------------------------------------------------   x 80</w:t>
      </w:r>
    </w:p>
    <w:p w14:paraId="2243F86D" w14:textId="0E70D0E3" w:rsidR="00AF612B" w:rsidRDefault="00AF612B" w:rsidP="00AF612B">
      <w:pPr>
        <w:tabs>
          <w:tab w:val="left" w:pos="3969"/>
        </w:tabs>
        <w:spacing w:after="120"/>
        <w:jc w:val="center"/>
        <w:rPr>
          <w:b/>
        </w:rPr>
      </w:pPr>
      <w:r w:rsidRPr="00007314">
        <w:rPr>
          <w:b/>
        </w:rPr>
        <w:t>cena oferty badanej</w:t>
      </w:r>
    </w:p>
    <w:p w14:paraId="190A4FD0" w14:textId="77777777" w:rsidR="00740B4D" w:rsidRPr="00007314" w:rsidRDefault="00740B4D" w:rsidP="00AF612B">
      <w:pPr>
        <w:tabs>
          <w:tab w:val="left" w:pos="3969"/>
        </w:tabs>
        <w:spacing w:after="120"/>
        <w:jc w:val="center"/>
      </w:pPr>
    </w:p>
    <w:p w14:paraId="249E2B6A" w14:textId="77777777" w:rsidR="00AF612B" w:rsidRPr="00007314" w:rsidRDefault="00AF612B" w:rsidP="00AF612B">
      <w:pPr>
        <w:pStyle w:val="Akapitzlist"/>
        <w:numPr>
          <w:ilvl w:val="0"/>
          <w:numId w:val="38"/>
        </w:numPr>
        <w:tabs>
          <w:tab w:val="num" w:pos="709"/>
        </w:tabs>
        <w:spacing w:after="120" w:line="252" w:lineRule="auto"/>
        <w:ind w:left="709"/>
        <w:jc w:val="both"/>
      </w:pPr>
      <w:r w:rsidRPr="00007314">
        <w:rPr>
          <w:b/>
        </w:rPr>
        <w:t>Kryterium “Warunki ubezpieczenia” (wskaźnik oznaczony jako “W”)</w:t>
      </w:r>
      <w:r w:rsidRPr="00007314">
        <w:t xml:space="preserve"> będzie rozpatrywane na podstawie akceptacji przez Wykonawcę zmian warunków ubezpieczenia w stosunku do warunków minimalnych opisanych w Opisie Przedmiotu Zamówienia dla Zadania nr 1.</w:t>
      </w:r>
    </w:p>
    <w:p w14:paraId="62F455BA" w14:textId="77777777" w:rsidR="00AF612B" w:rsidRPr="00007314" w:rsidRDefault="00AF612B" w:rsidP="00AF612B">
      <w:pPr>
        <w:pStyle w:val="Akapitzlist"/>
        <w:tabs>
          <w:tab w:val="num" w:pos="709"/>
        </w:tabs>
        <w:spacing w:after="120" w:line="252" w:lineRule="auto"/>
        <w:ind w:left="709"/>
        <w:jc w:val="both"/>
      </w:pPr>
    </w:p>
    <w:p w14:paraId="5289A0B4" w14:textId="77777777" w:rsidR="00AF612B" w:rsidRPr="00007314" w:rsidRDefault="00AF612B" w:rsidP="00AF612B">
      <w:pPr>
        <w:spacing w:after="120" w:line="252" w:lineRule="auto"/>
      </w:pPr>
      <w:r w:rsidRPr="00007314">
        <w:t xml:space="preserve">Wykonawca może zaakceptować zmianę warunków ubezpieczenia lub nie zaakceptować zmiany. </w:t>
      </w:r>
    </w:p>
    <w:p w14:paraId="04E6F4F5" w14:textId="77777777" w:rsidR="00AF612B" w:rsidRPr="00007314" w:rsidRDefault="00AF612B" w:rsidP="00AF612B">
      <w:pPr>
        <w:spacing w:after="120" w:line="252" w:lineRule="auto"/>
        <w:ind w:left="247"/>
        <w:rPr>
          <w:i/>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5953"/>
        <w:gridCol w:w="1134"/>
      </w:tblGrid>
      <w:tr w:rsidR="00AF612B" w:rsidRPr="00007314" w14:paraId="3210F85B" w14:textId="77777777" w:rsidTr="0062320F">
        <w:tc>
          <w:tcPr>
            <w:tcW w:w="2553" w:type="dxa"/>
            <w:tcBorders>
              <w:top w:val="single" w:sz="4" w:space="0" w:color="auto"/>
              <w:left w:val="single" w:sz="4" w:space="0" w:color="auto"/>
              <w:bottom w:val="single" w:sz="4" w:space="0" w:color="auto"/>
              <w:right w:val="single" w:sz="4" w:space="0" w:color="auto"/>
            </w:tcBorders>
            <w:hideMark/>
          </w:tcPr>
          <w:p w14:paraId="2B500D22" w14:textId="77777777" w:rsidR="00AF612B" w:rsidRPr="00007314" w:rsidRDefault="00AF612B" w:rsidP="0062320F">
            <w:pPr>
              <w:spacing w:after="120" w:line="252" w:lineRule="auto"/>
              <w:jc w:val="center"/>
              <w:rPr>
                <w:b/>
                <w:i/>
              </w:rPr>
            </w:pPr>
            <w:r w:rsidRPr="00007314">
              <w:rPr>
                <w:b/>
                <w:i/>
              </w:rPr>
              <w:t>Oznaczenie proponowanych zmian w Kryterium „Warunki ubezpieczenia”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91498AF" w14:textId="77777777" w:rsidR="00AF612B" w:rsidRPr="00007314" w:rsidRDefault="00AF612B" w:rsidP="0062320F">
            <w:pPr>
              <w:spacing w:after="120" w:line="252" w:lineRule="auto"/>
              <w:jc w:val="center"/>
              <w:rPr>
                <w:i/>
                <w:lang w:val="de-AT"/>
              </w:rPr>
            </w:pPr>
            <w:r w:rsidRPr="00007314">
              <w:rPr>
                <w:b/>
                <w:i/>
                <w:lang w:val="de-AT"/>
              </w:rPr>
              <w:t>KRYTERIUM WARUNKI UBEZPIECZENIA „W“</w:t>
            </w:r>
          </w:p>
        </w:tc>
        <w:tc>
          <w:tcPr>
            <w:tcW w:w="1134" w:type="dxa"/>
            <w:tcBorders>
              <w:bottom w:val="single" w:sz="4" w:space="0" w:color="auto"/>
            </w:tcBorders>
            <w:vAlign w:val="center"/>
          </w:tcPr>
          <w:p w14:paraId="6632486A" w14:textId="77777777" w:rsidR="00AF612B" w:rsidRPr="00007314" w:rsidRDefault="00AF612B" w:rsidP="0062320F">
            <w:pPr>
              <w:rPr>
                <w:i/>
                <w:lang w:val="de-AT"/>
              </w:rPr>
            </w:pPr>
            <w:r w:rsidRPr="00007314">
              <w:rPr>
                <w:b/>
                <w:i/>
              </w:rPr>
              <w:t>Liczba punktów</w:t>
            </w:r>
          </w:p>
        </w:tc>
      </w:tr>
      <w:tr w:rsidR="00AF612B" w:rsidRPr="00007314" w14:paraId="455F29E1" w14:textId="77777777" w:rsidTr="0062320F">
        <w:trPr>
          <w:trHeight w:val="1127"/>
        </w:trPr>
        <w:tc>
          <w:tcPr>
            <w:tcW w:w="2553" w:type="dxa"/>
            <w:tcBorders>
              <w:top w:val="single" w:sz="4" w:space="0" w:color="auto"/>
              <w:left w:val="single" w:sz="4" w:space="0" w:color="auto"/>
              <w:bottom w:val="single" w:sz="4" w:space="0" w:color="auto"/>
              <w:right w:val="single" w:sz="4" w:space="0" w:color="auto"/>
            </w:tcBorders>
            <w:vAlign w:val="center"/>
            <w:hideMark/>
          </w:tcPr>
          <w:p w14:paraId="50147979" w14:textId="77777777" w:rsidR="00AF612B" w:rsidRPr="00007314" w:rsidRDefault="00AF612B" w:rsidP="0062320F">
            <w:pPr>
              <w:jc w:val="center"/>
              <w:rPr>
                <w:b/>
                <w:i/>
              </w:rPr>
            </w:pPr>
            <w:r w:rsidRPr="00007314">
              <w:rPr>
                <w:b/>
                <w:i/>
              </w:rPr>
              <w:t>W1</w:t>
            </w:r>
          </w:p>
        </w:tc>
        <w:tc>
          <w:tcPr>
            <w:tcW w:w="5953" w:type="dxa"/>
            <w:tcBorders>
              <w:top w:val="single" w:sz="4" w:space="0" w:color="auto"/>
              <w:left w:val="single" w:sz="4" w:space="0" w:color="auto"/>
              <w:right w:val="single" w:sz="4" w:space="0" w:color="auto"/>
            </w:tcBorders>
            <w:shd w:val="clear" w:color="auto" w:fill="auto"/>
          </w:tcPr>
          <w:p w14:paraId="3C84FC8F" w14:textId="77777777" w:rsidR="00AF612B" w:rsidRPr="00007314" w:rsidRDefault="00AF612B" w:rsidP="0062320F">
            <w:pPr>
              <w:spacing w:line="254" w:lineRule="auto"/>
            </w:pPr>
            <w:r w:rsidRPr="00007314">
              <w:t>Rozszerzenie ubezpieczenia OC o odpowiedzialność administracyjno-prawną w zakresie wynikającym z przepisów ustawy z dnia 13.04.2007 o zapobieganiu szkodom w środowisku i ich naprawie.</w:t>
            </w:r>
          </w:p>
        </w:tc>
        <w:tc>
          <w:tcPr>
            <w:tcW w:w="1134" w:type="dxa"/>
            <w:shd w:val="clear" w:color="auto" w:fill="auto"/>
            <w:vAlign w:val="center"/>
          </w:tcPr>
          <w:p w14:paraId="54D9DF7A" w14:textId="77777777" w:rsidR="00AF612B" w:rsidRPr="00007314" w:rsidRDefault="00AF612B" w:rsidP="0062320F">
            <w:r w:rsidRPr="00007314">
              <w:t>10 pkt</w:t>
            </w:r>
          </w:p>
        </w:tc>
      </w:tr>
      <w:tr w:rsidR="00AF612B" w:rsidRPr="00007314" w14:paraId="3E2A246B" w14:textId="77777777" w:rsidTr="0062320F">
        <w:trPr>
          <w:trHeight w:val="1127"/>
        </w:trPr>
        <w:tc>
          <w:tcPr>
            <w:tcW w:w="2553" w:type="dxa"/>
            <w:tcBorders>
              <w:top w:val="single" w:sz="4" w:space="0" w:color="auto"/>
              <w:left w:val="single" w:sz="4" w:space="0" w:color="auto"/>
              <w:bottom w:val="single" w:sz="4" w:space="0" w:color="auto"/>
              <w:right w:val="single" w:sz="4" w:space="0" w:color="auto"/>
            </w:tcBorders>
            <w:vAlign w:val="center"/>
          </w:tcPr>
          <w:p w14:paraId="6ED67F6B" w14:textId="77777777" w:rsidR="00AF612B" w:rsidRPr="00007314" w:rsidRDefault="00AF612B" w:rsidP="0062320F">
            <w:pPr>
              <w:jc w:val="center"/>
              <w:rPr>
                <w:b/>
                <w:i/>
              </w:rPr>
            </w:pPr>
            <w:r w:rsidRPr="00007314">
              <w:rPr>
                <w:b/>
                <w:i/>
              </w:rPr>
              <w:t>W2</w:t>
            </w:r>
          </w:p>
        </w:tc>
        <w:tc>
          <w:tcPr>
            <w:tcW w:w="5953" w:type="dxa"/>
            <w:tcBorders>
              <w:top w:val="single" w:sz="4" w:space="0" w:color="auto"/>
              <w:left w:val="single" w:sz="4" w:space="0" w:color="auto"/>
              <w:right w:val="single" w:sz="4" w:space="0" w:color="auto"/>
            </w:tcBorders>
            <w:shd w:val="clear" w:color="auto" w:fill="auto"/>
          </w:tcPr>
          <w:p w14:paraId="35E30E2E" w14:textId="77777777" w:rsidR="00AF612B" w:rsidRPr="00007314" w:rsidRDefault="00AF612B" w:rsidP="0062320F">
            <w:pPr>
              <w:suppressAutoHyphens/>
              <w:jc w:val="both"/>
            </w:pPr>
            <w:r w:rsidRPr="00007314">
              <w:rPr>
                <w:bCs/>
              </w:rPr>
              <w:t>Klauzula dodatkowych kosztów sądowych</w:t>
            </w:r>
            <w:r w:rsidRPr="00007314">
              <w:t>: ustala się, że ochrona ubezpieczeniowa obejmuje dodatkowe koszty sądowe, w tym koszty zastępstwa prawnego i procesowego  zasądzone wyrokiem sądu w postępowaniu karnym i cywilnym.</w:t>
            </w:r>
          </w:p>
        </w:tc>
        <w:tc>
          <w:tcPr>
            <w:tcW w:w="1134" w:type="dxa"/>
            <w:shd w:val="clear" w:color="auto" w:fill="auto"/>
            <w:vAlign w:val="center"/>
          </w:tcPr>
          <w:p w14:paraId="62A3BA2C" w14:textId="77777777" w:rsidR="00AF612B" w:rsidRPr="00007314" w:rsidRDefault="00AF612B" w:rsidP="0062320F">
            <w:r w:rsidRPr="00007314">
              <w:t>5 pkt</w:t>
            </w:r>
          </w:p>
        </w:tc>
      </w:tr>
      <w:tr w:rsidR="00AF612B" w:rsidRPr="00007314" w14:paraId="37594879" w14:textId="77777777" w:rsidTr="0062320F">
        <w:tc>
          <w:tcPr>
            <w:tcW w:w="2553" w:type="dxa"/>
            <w:tcBorders>
              <w:top w:val="single" w:sz="4" w:space="0" w:color="auto"/>
              <w:left w:val="single" w:sz="4" w:space="0" w:color="auto"/>
              <w:bottom w:val="single" w:sz="4" w:space="0" w:color="auto"/>
              <w:right w:val="single" w:sz="4" w:space="0" w:color="auto"/>
            </w:tcBorders>
            <w:vAlign w:val="center"/>
          </w:tcPr>
          <w:p w14:paraId="71C3EF11" w14:textId="77777777" w:rsidR="00AF612B" w:rsidRPr="00007314" w:rsidRDefault="00AF612B" w:rsidP="0062320F">
            <w:pPr>
              <w:jc w:val="center"/>
              <w:rPr>
                <w:b/>
                <w:i/>
              </w:rPr>
            </w:pPr>
            <w:r w:rsidRPr="00007314">
              <w:rPr>
                <w:b/>
                <w:i/>
              </w:rPr>
              <w:t>W3</w:t>
            </w:r>
          </w:p>
        </w:tc>
        <w:tc>
          <w:tcPr>
            <w:tcW w:w="5953" w:type="dxa"/>
            <w:tcBorders>
              <w:left w:val="single" w:sz="4" w:space="0" w:color="auto"/>
              <w:bottom w:val="single" w:sz="4" w:space="0" w:color="auto"/>
              <w:right w:val="single" w:sz="4" w:space="0" w:color="auto"/>
            </w:tcBorders>
            <w:shd w:val="clear" w:color="auto" w:fill="auto"/>
          </w:tcPr>
          <w:p w14:paraId="04B742FC" w14:textId="77777777" w:rsidR="00AF612B" w:rsidRPr="00007314" w:rsidRDefault="00AF612B" w:rsidP="0062320F">
            <w:pPr>
              <w:suppressAutoHyphens/>
              <w:jc w:val="both"/>
            </w:pPr>
            <w:r w:rsidRPr="00007314">
              <w:rPr>
                <w:rFonts w:cs="Arial"/>
              </w:rPr>
              <w:t>Zniesienie franszyzy redukcyjnej i/lub udziału własnego i/lub innych podobnych potrąceń z odszkodowania dla całego zakresu Zadania nr 1</w:t>
            </w:r>
          </w:p>
        </w:tc>
        <w:tc>
          <w:tcPr>
            <w:tcW w:w="1134" w:type="dxa"/>
            <w:tcBorders>
              <w:top w:val="single" w:sz="4" w:space="0" w:color="auto"/>
            </w:tcBorders>
            <w:shd w:val="clear" w:color="auto" w:fill="auto"/>
            <w:vAlign w:val="center"/>
          </w:tcPr>
          <w:p w14:paraId="05916EEE" w14:textId="77777777" w:rsidR="00AF612B" w:rsidRPr="00007314" w:rsidRDefault="00AF612B" w:rsidP="0062320F">
            <w:r w:rsidRPr="00007314">
              <w:t>5 pkt</w:t>
            </w:r>
          </w:p>
        </w:tc>
      </w:tr>
    </w:tbl>
    <w:p w14:paraId="773E23A5" w14:textId="77777777" w:rsidR="00AF612B" w:rsidRPr="00007314" w:rsidRDefault="00AF612B" w:rsidP="00AF612B">
      <w:pPr>
        <w:spacing w:after="120" w:line="252" w:lineRule="auto"/>
        <w:ind w:left="247"/>
      </w:pPr>
    </w:p>
    <w:p w14:paraId="25EA5B0B" w14:textId="0F7B774A" w:rsidR="00AF612B" w:rsidRPr="00007314" w:rsidRDefault="00807D2F" w:rsidP="001E512C">
      <w:pPr>
        <w:spacing w:after="120"/>
        <w:jc w:val="both"/>
      </w:pPr>
      <w:bookmarkStart w:id="3" w:name="_Hlk535494213"/>
      <w:r w:rsidRPr="00007314">
        <w:t>Wykonawca może zaakceptować wszystkie lub wybrane zmiany warunków ubezpieczenia</w:t>
      </w:r>
      <w:r w:rsidRPr="00007314">
        <w:br/>
        <w:t xml:space="preserve">lub nie zaakceptować żadnej zmiany </w:t>
      </w:r>
      <w:r w:rsidR="00AF612B" w:rsidRPr="00007314">
        <w:t xml:space="preserve">W przypadku niezaakceptowania przez Wykonawcę proponowanych zmian otrzyma on 0 (zero) punktów. </w:t>
      </w:r>
      <w:bookmarkStart w:id="4" w:name="_Hlk535494188"/>
      <w:r>
        <w:t>Za akceptację każdej z proponowanych zmian Wykonawca otrzyma odpowiednią liczbę punktów wynikającą z powyższej tabeli – łącznie maksymalnie 20 (dwadzieścia) punktów.</w:t>
      </w:r>
      <w:r w:rsidR="00AF612B" w:rsidRPr="00007314">
        <w:t xml:space="preserve"> </w:t>
      </w:r>
      <w:bookmarkEnd w:id="4"/>
    </w:p>
    <w:bookmarkEnd w:id="3"/>
    <w:p w14:paraId="2AB37044" w14:textId="77777777" w:rsidR="00AF612B" w:rsidRPr="00007314" w:rsidRDefault="00AF612B" w:rsidP="00AF612B">
      <w:pPr>
        <w:spacing w:after="120" w:line="252" w:lineRule="auto"/>
      </w:pPr>
      <w:r w:rsidRPr="00007314">
        <w:t xml:space="preserve">Punktacja za Kryterium Warunki Ubezpieczenia zostanie obliczona według następującego wzoru: </w:t>
      </w:r>
    </w:p>
    <w:p w14:paraId="40E6AE2E" w14:textId="77777777" w:rsidR="00AF612B" w:rsidRPr="00007314" w:rsidRDefault="00AF612B" w:rsidP="00AF612B">
      <w:pPr>
        <w:spacing w:after="120" w:line="252" w:lineRule="auto"/>
      </w:pPr>
      <w:r w:rsidRPr="00007314">
        <w:rPr>
          <w:b/>
        </w:rPr>
        <w:lastRenderedPageBreak/>
        <w:t>W = W1 + W2 + W3</w:t>
      </w:r>
    </w:p>
    <w:p w14:paraId="6CB4ED81" w14:textId="77777777" w:rsidR="00AF612B" w:rsidRPr="00007314" w:rsidRDefault="00AF612B" w:rsidP="00AF612B">
      <w:pPr>
        <w:spacing w:after="120"/>
      </w:pPr>
    </w:p>
    <w:p w14:paraId="7408630C" w14:textId="77777777" w:rsidR="00AF612B" w:rsidRPr="00007314" w:rsidRDefault="00AF612B" w:rsidP="00AF612B">
      <w:pPr>
        <w:pStyle w:val="Default"/>
        <w:numPr>
          <w:ilvl w:val="5"/>
          <w:numId w:val="37"/>
        </w:numPr>
        <w:spacing w:after="14"/>
        <w:ind w:left="567" w:hanging="567"/>
        <w:rPr>
          <w:rFonts w:asciiTheme="minorHAnsi" w:hAnsiTheme="minorHAnsi" w:cs="Times New Roman"/>
          <w:color w:val="auto"/>
          <w:sz w:val="22"/>
          <w:szCs w:val="22"/>
        </w:rPr>
      </w:pPr>
      <w:r w:rsidRPr="00007314">
        <w:rPr>
          <w:rFonts w:asciiTheme="minorHAnsi" w:hAnsiTheme="minorHAnsi" w:cs="Times New Roman"/>
          <w:color w:val="auto"/>
          <w:sz w:val="22"/>
          <w:szCs w:val="22"/>
        </w:rPr>
        <w:t xml:space="preserve">Punktacje będą zaokrąglane z dokładnością do dwóch miejsc po przecinku </w:t>
      </w:r>
    </w:p>
    <w:p w14:paraId="00CCC6DD" w14:textId="403EF917" w:rsidR="00AF612B" w:rsidRPr="00007314" w:rsidRDefault="00AF612B" w:rsidP="00AF612B">
      <w:pPr>
        <w:pStyle w:val="Default"/>
        <w:numPr>
          <w:ilvl w:val="5"/>
          <w:numId w:val="37"/>
        </w:numPr>
        <w:spacing w:after="14"/>
        <w:ind w:left="567" w:hanging="567"/>
        <w:rPr>
          <w:rFonts w:asciiTheme="minorHAnsi" w:hAnsiTheme="minorHAnsi" w:cs="Times New Roman"/>
          <w:color w:val="auto"/>
          <w:sz w:val="22"/>
          <w:szCs w:val="22"/>
        </w:rPr>
      </w:pPr>
      <w:r w:rsidRPr="00007314">
        <w:rPr>
          <w:rFonts w:asciiTheme="minorHAnsi" w:hAnsiTheme="minorHAnsi"/>
          <w:b/>
          <w:sz w:val="22"/>
          <w:szCs w:val="22"/>
        </w:rPr>
        <w:t xml:space="preserve">Ogólna punktacja (P) w zadaniu nr </w:t>
      </w:r>
      <w:r w:rsidR="00FE42B0">
        <w:rPr>
          <w:rFonts w:asciiTheme="minorHAnsi" w:hAnsiTheme="minorHAnsi"/>
          <w:b/>
          <w:sz w:val="22"/>
          <w:szCs w:val="22"/>
        </w:rPr>
        <w:t>1</w:t>
      </w:r>
      <w:r w:rsidRPr="00007314">
        <w:rPr>
          <w:rFonts w:asciiTheme="minorHAnsi" w:hAnsiTheme="minorHAnsi"/>
          <w:b/>
          <w:sz w:val="22"/>
          <w:szCs w:val="22"/>
        </w:rPr>
        <w:t xml:space="preserve"> zostanie obliczona wg wzoru: </w:t>
      </w:r>
      <w:r w:rsidRPr="00007314">
        <w:rPr>
          <w:rFonts w:asciiTheme="minorHAnsi" w:hAnsiTheme="minorHAnsi"/>
          <w:b/>
          <w:kern w:val="24"/>
          <w:sz w:val="22"/>
          <w:szCs w:val="22"/>
        </w:rPr>
        <w:t>P = C (kryterium Cena)  + W (kryterium Warunki ubezpieczenia)</w:t>
      </w:r>
    </w:p>
    <w:p w14:paraId="4AF5B75E" w14:textId="4AE6B774" w:rsidR="00AF612B" w:rsidRPr="00007314" w:rsidRDefault="00AF612B" w:rsidP="00AF612B">
      <w:pPr>
        <w:pStyle w:val="Default"/>
        <w:numPr>
          <w:ilvl w:val="5"/>
          <w:numId w:val="37"/>
        </w:numPr>
        <w:spacing w:after="14"/>
        <w:ind w:left="567" w:hanging="567"/>
        <w:rPr>
          <w:rFonts w:asciiTheme="minorHAnsi" w:hAnsiTheme="minorHAnsi" w:cs="Times New Roman"/>
          <w:color w:val="auto"/>
          <w:sz w:val="22"/>
          <w:szCs w:val="22"/>
        </w:rPr>
      </w:pPr>
      <w:r w:rsidRPr="00007314">
        <w:rPr>
          <w:rFonts w:asciiTheme="minorHAnsi" w:hAnsiTheme="minorHAnsi"/>
          <w:sz w:val="22"/>
          <w:szCs w:val="22"/>
        </w:rPr>
        <w:t xml:space="preserve">Za najkorzystniejszą zostanie uznana oferta, która uzyska </w:t>
      </w:r>
      <w:r w:rsidRPr="00007314">
        <w:rPr>
          <w:rFonts w:asciiTheme="minorHAnsi" w:hAnsiTheme="minorHAnsi"/>
          <w:sz w:val="22"/>
          <w:szCs w:val="22"/>
          <w:u w:val="single"/>
        </w:rPr>
        <w:t>najwyższą łączną liczbę punktów</w:t>
      </w:r>
      <w:r w:rsidRPr="00007314">
        <w:rPr>
          <w:rFonts w:asciiTheme="minorHAnsi" w:hAnsiTheme="minorHAnsi"/>
          <w:sz w:val="22"/>
          <w:szCs w:val="22"/>
        </w:rPr>
        <w:t xml:space="preserve"> w ww. kryteriach.</w:t>
      </w:r>
      <w:r w:rsidRPr="00007314">
        <w:rPr>
          <w:rFonts w:asciiTheme="minorHAnsi" w:hAnsiTheme="minorHAnsi"/>
          <w:kern w:val="24"/>
          <w:sz w:val="22"/>
          <w:szCs w:val="22"/>
        </w:rPr>
        <w:t xml:space="preserve"> </w:t>
      </w:r>
    </w:p>
    <w:p w14:paraId="4F887BFF" w14:textId="77777777" w:rsidR="00AF612B" w:rsidRPr="00007314" w:rsidRDefault="00AF612B" w:rsidP="00AF612B">
      <w:pPr>
        <w:pStyle w:val="Default"/>
        <w:numPr>
          <w:ilvl w:val="5"/>
          <w:numId w:val="37"/>
        </w:numPr>
        <w:spacing w:after="14"/>
        <w:ind w:left="567" w:hanging="567"/>
        <w:rPr>
          <w:rFonts w:asciiTheme="minorHAnsi" w:hAnsiTheme="minorHAnsi" w:cs="Times New Roman"/>
          <w:color w:val="auto"/>
          <w:sz w:val="22"/>
          <w:szCs w:val="22"/>
        </w:rPr>
      </w:pPr>
      <w:r w:rsidRPr="00007314">
        <w:rPr>
          <w:rFonts w:asciiTheme="minorHAnsi" w:hAnsiTheme="minorHAnsi"/>
          <w:sz w:val="22"/>
          <w:szCs w:val="22"/>
          <w:lang w:eastAsia="en-US"/>
        </w:rPr>
        <w:t xml:space="preserve">Badania i oceny ofert dokona komisja przetargowa powołana przez Zamawiającego, </w:t>
      </w:r>
      <w:r w:rsidRPr="00007314">
        <w:rPr>
          <w:rFonts w:asciiTheme="minorHAnsi" w:hAnsiTheme="minorHAnsi"/>
          <w:sz w:val="22"/>
          <w:szCs w:val="22"/>
        </w:rPr>
        <w:t xml:space="preserve">w oparciu o wymagania postawione w SIWZ. </w:t>
      </w:r>
    </w:p>
    <w:p w14:paraId="4209CBB0" w14:textId="77777777" w:rsidR="00AF612B" w:rsidRPr="00007314" w:rsidRDefault="00AF612B" w:rsidP="00AF612B">
      <w:pPr>
        <w:spacing w:after="120"/>
      </w:pPr>
    </w:p>
    <w:p w14:paraId="0CD807EA" w14:textId="1018BDA7" w:rsidR="00AF612B" w:rsidRPr="00007314" w:rsidRDefault="00AF612B" w:rsidP="001E512C">
      <w:pPr>
        <w:spacing w:after="120"/>
        <w:jc w:val="both"/>
        <w:rPr>
          <w:i/>
        </w:rPr>
      </w:pPr>
      <w:r w:rsidRPr="00007314">
        <w:rPr>
          <w:i/>
        </w:rPr>
        <w:t xml:space="preserve">W przypadku akceptacji zmiany warunków ubezpieczenia odpowiednie postanowienia w Opisie Przedmiotu Zamówienia dla Zadania </w:t>
      </w:r>
      <w:r w:rsidR="00FE42B0">
        <w:rPr>
          <w:i/>
        </w:rPr>
        <w:t>1</w:t>
      </w:r>
      <w:r w:rsidRPr="00007314">
        <w:rPr>
          <w:i/>
        </w:rPr>
        <w:t xml:space="preserve"> otrzymają brzmienie zgodnie z treścią zaakceptowanej zmiany, tj.:</w:t>
      </w:r>
    </w:p>
    <w:p w14:paraId="56B461D7" w14:textId="490DDB5A" w:rsidR="00AF612B" w:rsidRPr="00007314" w:rsidRDefault="00AF612B" w:rsidP="00B54B3C">
      <w:pPr>
        <w:pStyle w:val="Akapitzlist"/>
        <w:numPr>
          <w:ilvl w:val="0"/>
          <w:numId w:val="36"/>
        </w:numPr>
        <w:spacing w:after="0"/>
        <w:jc w:val="both"/>
        <w:rPr>
          <w:i/>
        </w:rPr>
      </w:pPr>
      <w:r w:rsidRPr="00007314">
        <w:rPr>
          <w:i/>
        </w:rPr>
        <w:t xml:space="preserve">Kryterium oznaczonego jako W1, </w:t>
      </w:r>
      <w:r w:rsidRPr="00007314">
        <w:rPr>
          <w:rFonts w:cs="Arial"/>
          <w:i/>
        </w:rPr>
        <w:t>ubezpieczenie OC zostanie rozszerzone o odpowiedzialność cywilno-prawną w zakresie wynikającym z przepisów ustawy z dnia 13.04.2007</w:t>
      </w:r>
      <w:r w:rsidR="00442200">
        <w:rPr>
          <w:rFonts w:cs="Arial"/>
          <w:i/>
        </w:rPr>
        <w:t xml:space="preserve"> r.</w:t>
      </w:r>
      <w:r w:rsidRPr="00007314">
        <w:rPr>
          <w:rFonts w:cs="Arial"/>
          <w:i/>
        </w:rPr>
        <w:t xml:space="preserve"> o zapobieganiu szkodom w środowisku i ich naprawie.</w:t>
      </w:r>
    </w:p>
    <w:p w14:paraId="611A5A08" w14:textId="77777777" w:rsidR="00AF612B" w:rsidRPr="00007314" w:rsidRDefault="00AF612B" w:rsidP="00B54B3C">
      <w:pPr>
        <w:pStyle w:val="Akapitzlist"/>
        <w:numPr>
          <w:ilvl w:val="0"/>
          <w:numId w:val="36"/>
        </w:numPr>
        <w:spacing w:after="0"/>
        <w:jc w:val="both"/>
        <w:rPr>
          <w:i/>
        </w:rPr>
      </w:pPr>
      <w:r w:rsidRPr="00007314">
        <w:rPr>
          <w:i/>
        </w:rPr>
        <w:t>Kryterium oznaczonego jako W2, zastosowanie będzie mieć klauzula dodatkowych kosztów sądowych: ustala się, że ochrona ubezpieczeniowa obejmuje dodatkowe koszty sądowe, w tym koszty zastępstwa prawnego i procesowego zasądzone wyrokiem sądu w postępowaniu karnym i cywilnym.</w:t>
      </w:r>
    </w:p>
    <w:p w14:paraId="4AFCD872" w14:textId="77777777" w:rsidR="00AF612B" w:rsidRPr="00007314" w:rsidRDefault="00AF612B" w:rsidP="00B54B3C">
      <w:pPr>
        <w:pStyle w:val="Akapitzlist"/>
        <w:numPr>
          <w:ilvl w:val="0"/>
          <w:numId w:val="36"/>
        </w:numPr>
        <w:spacing w:after="0"/>
        <w:jc w:val="both"/>
        <w:rPr>
          <w:i/>
        </w:rPr>
      </w:pPr>
      <w:r w:rsidRPr="00007314">
        <w:rPr>
          <w:i/>
        </w:rPr>
        <w:t xml:space="preserve">Kryterium oznaczonego jako W3, </w:t>
      </w:r>
      <w:r w:rsidRPr="00007314">
        <w:rPr>
          <w:rFonts w:cs="Arial"/>
          <w:i/>
        </w:rPr>
        <w:t>zniesiona zostanie franszyza redukcyjna i/lub udział własny i/lub inne podobne potrącenia z odszkodowania dla całego zakresu Zadania nr 1.</w:t>
      </w:r>
    </w:p>
    <w:p w14:paraId="61086AB3" w14:textId="77777777" w:rsidR="00AF612B" w:rsidRPr="00007314" w:rsidRDefault="00AF612B" w:rsidP="00AF612B">
      <w:pPr>
        <w:spacing w:after="0"/>
        <w:jc w:val="both"/>
        <w:rPr>
          <w:i/>
        </w:rPr>
      </w:pPr>
    </w:p>
    <w:p w14:paraId="1AF23457" w14:textId="77777777" w:rsidR="00AF612B" w:rsidRPr="00007314" w:rsidRDefault="00AF612B" w:rsidP="00AF612B">
      <w:pPr>
        <w:spacing w:after="0"/>
        <w:jc w:val="both"/>
        <w:rPr>
          <w:i/>
        </w:rPr>
      </w:pPr>
    </w:p>
    <w:p w14:paraId="58CEA2E1" w14:textId="77777777" w:rsidR="00AF612B" w:rsidRPr="00007314" w:rsidRDefault="00AF612B" w:rsidP="00AF612B">
      <w:pPr>
        <w:spacing w:before="120" w:after="120" w:line="240" w:lineRule="auto"/>
        <w:rPr>
          <w:b/>
        </w:rPr>
      </w:pPr>
      <w:r w:rsidRPr="00007314">
        <w:rPr>
          <w:b/>
        </w:rPr>
        <w:t>Kryteria dla Zadania nr 2</w:t>
      </w:r>
    </w:p>
    <w:p w14:paraId="0A4B7133" w14:textId="77777777" w:rsidR="00AF612B" w:rsidRPr="00007314" w:rsidRDefault="00AF612B" w:rsidP="00AF612B">
      <w:pPr>
        <w:spacing w:before="120" w:after="120" w:line="240" w:lineRule="auto"/>
        <w:jc w:val="both"/>
      </w:pPr>
      <w:r w:rsidRPr="00007314">
        <w:t>Kryteria, którymi Zamawiający będzie kierował się przy wyborze oferty wraz z podaniem znaczenia (wag) tych kryteriów:</w:t>
      </w:r>
    </w:p>
    <w:p w14:paraId="0B4274BE" w14:textId="77777777" w:rsidR="00AF612B" w:rsidRPr="00007314" w:rsidRDefault="00AF612B" w:rsidP="00AF612B">
      <w:pPr>
        <w:numPr>
          <w:ilvl w:val="0"/>
          <w:numId w:val="44"/>
        </w:numPr>
        <w:spacing w:after="120" w:line="240" w:lineRule="auto"/>
        <w:jc w:val="both"/>
      </w:pPr>
      <w:r w:rsidRPr="00007314">
        <w:t>Cena oferty (C)</w:t>
      </w:r>
      <w:r w:rsidRPr="00007314">
        <w:tab/>
      </w:r>
      <w:r w:rsidRPr="00007314">
        <w:tab/>
      </w:r>
      <w:r w:rsidRPr="00007314">
        <w:tab/>
      </w:r>
      <w:r w:rsidRPr="00007314">
        <w:tab/>
      </w:r>
      <w:r w:rsidRPr="00007314">
        <w:tab/>
      </w:r>
      <w:r w:rsidRPr="00007314">
        <w:tab/>
      </w:r>
      <w:r w:rsidRPr="00007314">
        <w:tab/>
      </w:r>
      <w:r w:rsidRPr="00007314">
        <w:tab/>
      </w:r>
      <w:r w:rsidRPr="00007314">
        <w:tab/>
        <w:t>- 80%</w:t>
      </w:r>
    </w:p>
    <w:p w14:paraId="0F854DE1" w14:textId="77777777" w:rsidR="00AF612B" w:rsidRPr="00007314" w:rsidRDefault="00AF612B" w:rsidP="00AF612B">
      <w:pPr>
        <w:numPr>
          <w:ilvl w:val="0"/>
          <w:numId w:val="44"/>
        </w:numPr>
        <w:spacing w:after="120" w:line="240" w:lineRule="auto"/>
        <w:jc w:val="both"/>
        <w:rPr>
          <w:i/>
        </w:rPr>
      </w:pPr>
      <w:r w:rsidRPr="00007314">
        <w:t>Warunki ubezpieczenia W (W= W1+W2+W3)</w:t>
      </w:r>
      <w:r w:rsidRPr="00007314">
        <w:tab/>
      </w:r>
      <w:r w:rsidRPr="00007314">
        <w:tab/>
      </w:r>
      <w:r w:rsidRPr="00007314">
        <w:tab/>
      </w:r>
      <w:r w:rsidRPr="00007314">
        <w:tab/>
      </w:r>
      <w:r w:rsidRPr="00007314">
        <w:tab/>
      </w:r>
      <w:r w:rsidRPr="00007314">
        <w:rPr>
          <w:i/>
        </w:rPr>
        <w:t>- 20%</w:t>
      </w:r>
    </w:p>
    <w:p w14:paraId="080974B4" w14:textId="77777777" w:rsidR="00AF612B" w:rsidRPr="00007314" w:rsidRDefault="00AF612B" w:rsidP="001E512C">
      <w:pPr>
        <w:spacing w:after="120"/>
        <w:ind w:left="357"/>
      </w:pPr>
      <w:r w:rsidRPr="00007314">
        <w:t>gdzie podane wyżej wagi procentowe są wagami punktowymi według zasady: jeden % = jeden pkt</w:t>
      </w:r>
    </w:p>
    <w:p w14:paraId="6DCEC733" w14:textId="77777777" w:rsidR="00AF612B" w:rsidRPr="00007314" w:rsidRDefault="00AF612B" w:rsidP="00AF612B">
      <w:pPr>
        <w:spacing w:after="120"/>
        <w:ind w:left="357"/>
      </w:pPr>
    </w:p>
    <w:p w14:paraId="30BCD701" w14:textId="77777777" w:rsidR="00AF612B" w:rsidRPr="00007314" w:rsidRDefault="00AF612B" w:rsidP="00AF612B">
      <w:pPr>
        <w:spacing w:after="120" w:line="240" w:lineRule="auto"/>
        <w:jc w:val="both"/>
      </w:pPr>
      <w:r w:rsidRPr="00007314">
        <w:t>Oferty będą oceniane przez Komisję Przetargową wg metody i kryteriów wskazanych poniżej:</w:t>
      </w:r>
    </w:p>
    <w:p w14:paraId="5791155B" w14:textId="77777777" w:rsidR="00AF612B" w:rsidRPr="00007314" w:rsidRDefault="00AF612B" w:rsidP="00AF612B">
      <w:pPr>
        <w:pStyle w:val="Akapitzlist"/>
        <w:numPr>
          <w:ilvl w:val="0"/>
          <w:numId w:val="40"/>
        </w:numPr>
        <w:spacing w:after="120" w:line="252" w:lineRule="auto"/>
        <w:jc w:val="both"/>
      </w:pPr>
      <w:r w:rsidRPr="00007314">
        <w:rPr>
          <w:b/>
        </w:rPr>
        <w:t xml:space="preserve">Kryterium “cena oferty” (wskaźnik oznaczony jako “C”) </w:t>
      </w:r>
      <w:r w:rsidRPr="00007314">
        <w:t xml:space="preserve">– oferta z najniższą ceną brutto uzyska 80 pkt. </w:t>
      </w:r>
    </w:p>
    <w:p w14:paraId="73ED35A6" w14:textId="77777777" w:rsidR="00AF612B" w:rsidRPr="00007314" w:rsidRDefault="00AF612B" w:rsidP="001E512C">
      <w:pPr>
        <w:spacing w:after="120" w:line="252" w:lineRule="auto"/>
        <w:ind w:left="644" w:firstLine="64"/>
      </w:pPr>
      <w:r w:rsidRPr="00007314">
        <w:t>Pozostałe oferty otrzymają punkty w ilości odpowiednio mniejszej według następującego wzoru:</w:t>
      </w:r>
    </w:p>
    <w:p w14:paraId="6E30093A" w14:textId="1AB00F9A" w:rsidR="00AF612B" w:rsidRPr="00007314" w:rsidRDefault="00AF612B" w:rsidP="00AF612B">
      <w:pPr>
        <w:tabs>
          <w:tab w:val="left" w:pos="3969"/>
        </w:tabs>
        <w:spacing w:after="120"/>
        <w:jc w:val="center"/>
        <w:rPr>
          <w:b/>
        </w:rPr>
      </w:pPr>
      <w:r w:rsidRPr="00007314">
        <w:rPr>
          <w:b/>
        </w:rPr>
        <w:br/>
        <w:t>najniższa cena ofertowa</w:t>
      </w:r>
    </w:p>
    <w:p w14:paraId="43DEF3E0" w14:textId="77777777" w:rsidR="00AF612B" w:rsidRPr="00007314" w:rsidRDefault="00AF612B" w:rsidP="00AF612B">
      <w:pPr>
        <w:tabs>
          <w:tab w:val="left" w:pos="709"/>
          <w:tab w:val="left" w:pos="3969"/>
        </w:tabs>
        <w:spacing w:after="120"/>
        <w:jc w:val="center"/>
        <w:rPr>
          <w:b/>
        </w:rPr>
      </w:pPr>
      <w:r w:rsidRPr="00007314">
        <w:rPr>
          <w:b/>
        </w:rPr>
        <w:t>C = ---------------------------------------------------------------------------------   x 80</w:t>
      </w:r>
    </w:p>
    <w:p w14:paraId="5B3EB150" w14:textId="0BDDA908" w:rsidR="00AF612B" w:rsidRDefault="00AF612B" w:rsidP="00AF612B">
      <w:pPr>
        <w:tabs>
          <w:tab w:val="left" w:pos="3969"/>
        </w:tabs>
        <w:spacing w:after="120"/>
        <w:jc w:val="center"/>
        <w:rPr>
          <w:b/>
        </w:rPr>
      </w:pPr>
      <w:r w:rsidRPr="00007314">
        <w:rPr>
          <w:b/>
        </w:rPr>
        <w:t>cena oferty badanej</w:t>
      </w:r>
    </w:p>
    <w:p w14:paraId="51AA544C" w14:textId="77777777" w:rsidR="00740B4D" w:rsidRPr="00007314" w:rsidRDefault="00740B4D" w:rsidP="00AF612B">
      <w:pPr>
        <w:tabs>
          <w:tab w:val="left" w:pos="3969"/>
        </w:tabs>
        <w:spacing w:after="120"/>
        <w:jc w:val="center"/>
      </w:pPr>
    </w:p>
    <w:p w14:paraId="0F253B35" w14:textId="20306159" w:rsidR="00AF612B" w:rsidRPr="00007314" w:rsidRDefault="00AF612B" w:rsidP="00AF612B">
      <w:pPr>
        <w:pStyle w:val="Akapitzlist"/>
        <w:numPr>
          <w:ilvl w:val="0"/>
          <w:numId w:val="40"/>
        </w:numPr>
        <w:spacing w:after="120" w:line="252" w:lineRule="auto"/>
        <w:jc w:val="both"/>
      </w:pPr>
      <w:r w:rsidRPr="00007314">
        <w:rPr>
          <w:b/>
        </w:rPr>
        <w:t>Kryterium “Warunki ubezpieczenia” (wskaźnik oznaczony jako “W”)</w:t>
      </w:r>
      <w:r w:rsidRPr="00007314">
        <w:t xml:space="preserve"> będzie rozpatrywane na podstawie akceptacji przez Wykonawcę zmian warunków ubezpieczenia w stosunku do warunków minimalnych opisanych w Opisie Przedmiotu Zamówienia dla Zadania </w:t>
      </w:r>
      <w:r w:rsidR="00FE42B0">
        <w:t>2</w:t>
      </w:r>
      <w:r w:rsidRPr="00007314">
        <w:t>.</w:t>
      </w:r>
    </w:p>
    <w:p w14:paraId="0E96909C" w14:textId="7B135737" w:rsidR="00807D2F" w:rsidRPr="00807D2F" w:rsidRDefault="00807D2F" w:rsidP="001E512C">
      <w:pPr>
        <w:spacing w:after="120" w:line="252" w:lineRule="auto"/>
        <w:ind w:left="247"/>
        <w:jc w:val="both"/>
      </w:pPr>
      <w:bookmarkStart w:id="5" w:name="_Hlk535494235"/>
      <w:r w:rsidRPr="00807D2F">
        <w:t>Wykonawca może zaakceptować wszystkie lub wybrane zmiany warunków ubezpieczenia</w:t>
      </w:r>
      <w:r w:rsidRPr="00807D2F">
        <w:br/>
        <w:t xml:space="preserve">lub nie zaakceptować żadnej zmiany W przypadku niezaakceptowania przez Wykonawcę proponowanych zmian otrzyma on 0 (zero) punktów. Za akceptację każdej z proponowanych zmian Wykonawca otrzyma odpowiednią liczbę punktów wynikającą z powyższej tabeli – łącznie maksymalnie 20 (dwadzieścia) punktów. </w:t>
      </w:r>
    </w:p>
    <w:bookmarkEnd w:id="5"/>
    <w:p w14:paraId="225D1E5F" w14:textId="5DD753AD" w:rsidR="00AF612B" w:rsidRPr="00007314" w:rsidRDefault="00807D2F" w:rsidP="00AF612B">
      <w:pPr>
        <w:spacing w:after="120" w:line="252" w:lineRule="auto"/>
        <w:ind w:left="247"/>
      </w:pPr>
      <w:r>
        <w:t>Za akceptację każdej z proponowanych zmian Wykonawca otrzyma odpowiednią liczbę punktów wynikającą z powyższej tabeli – łącznie maksymalnie 20 (dwadzieścia) punktów.</w:t>
      </w:r>
    </w:p>
    <w:p w14:paraId="6962EC3D" w14:textId="77777777" w:rsidR="00AF612B" w:rsidRPr="00007314" w:rsidRDefault="00AF612B" w:rsidP="00AF612B">
      <w:pPr>
        <w:spacing w:after="120" w:line="252" w:lineRule="auto"/>
        <w:ind w:left="720"/>
        <w:rPr>
          <w:b/>
        </w:rPr>
      </w:pPr>
      <w:r w:rsidRPr="00007314">
        <w:rPr>
          <w:b/>
        </w:rPr>
        <w:tab/>
      </w:r>
      <w:r w:rsidRPr="00007314">
        <w:rPr>
          <w:b/>
        </w:rPr>
        <w:tab/>
      </w:r>
      <w:r w:rsidRPr="00007314">
        <w:rPr>
          <w:b/>
        </w:rPr>
        <w:tab/>
      </w:r>
      <w:r w:rsidRPr="00007314">
        <w:rPr>
          <w:b/>
        </w:rPr>
        <w:tab/>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207"/>
        <w:gridCol w:w="1026"/>
      </w:tblGrid>
      <w:tr w:rsidR="00AF612B" w:rsidRPr="00007314" w14:paraId="14D7A9D8" w14:textId="77777777" w:rsidTr="00740B4D">
        <w:tc>
          <w:tcPr>
            <w:tcW w:w="2269" w:type="dxa"/>
            <w:tcBorders>
              <w:top w:val="single" w:sz="4" w:space="0" w:color="auto"/>
              <w:left w:val="single" w:sz="4" w:space="0" w:color="auto"/>
              <w:bottom w:val="single" w:sz="4" w:space="0" w:color="auto"/>
              <w:right w:val="single" w:sz="4" w:space="0" w:color="auto"/>
            </w:tcBorders>
            <w:hideMark/>
          </w:tcPr>
          <w:p w14:paraId="130DD62D" w14:textId="77777777" w:rsidR="00AF612B" w:rsidRPr="00007314" w:rsidRDefault="00AF612B" w:rsidP="0062320F">
            <w:pPr>
              <w:spacing w:after="120" w:line="252" w:lineRule="auto"/>
              <w:jc w:val="center"/>
              <w:rPr>
                <w:b/>
                <w:i/>
              </w:rPr>
            </w:pPr>
            <w:r w:rsidRPr="00007314">
              <w:rPr>
                <w:b/>
                <w:i/>
              </w:rPr>
              <w:t>Oznaczenie proponowanych zmian w Kryterium „Warunki ubezpieczenia”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4DE330C" w14:textId="77777777" w:rsidR="00AF612B" w:rsidRPr="00007314" w:rsidRDefault="00AF612B" w:rsidP="0062320F">
            <w:pPr>
              <w:spacing w:after="120" w:line="252" w:lineRule="auto"/>
              <w:jc w:val="center"/>
              <w:rPr>
                <w:i/>
                <w:lang w:val="de-AT"/>
              </w:rPr>
            </w:pPr>
            <w:r w:rsidRPr="00007314">
              <w:rPr>
                <w:b/>
                <w:i/>
                <w:lang w:val="de-AT"/>
              </w:rPr>
              <w:t>KRYTERIUM WARUNKI UBEZPIECZENIA „W“</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591DC4" w14:textId="77777777" w:rsidR="00AF612B" w:rsidRPr="00007314" w:rsidRDefault="00AF612B" w:rsidP="0062320F">
            <w:pPr>
              <w:spacing w:after="120" w:line="252" w:lineRule="auto"/>
              <w:jc w:val="center"/>
              <w:rPr>
                <w:b/>
                <w:i/>
              </w:rPr>
            </w:pPr>
            <w:r w:rsidRPr="00007314">
              <w:rPr>
                <w:b/>
                <w:i/>
              </w:rPr>
              <w:t>Liczba punktów</w:t>
            </w:r>
          </w:p>
        </w:tc>
      </w:tr>
      <w:tr w:rsidR="00AF612B" w:rsidRPr="00007314" w14:paraId="657C6A7E" w14:textId="77777777" w:rsidTr="00740B4D">
        <w:trPr>
          <w:trHeight w:val="578"/>
        </w:trPr>
        <w:tc>
          <w:tcPr>
            <w:tcW w:w="2269" w:type="dxa"/>
            <w:tcBorders>
              <w:top w:val="single" w:sz="4" w:space="0" w:color="auto"/>
              <w:left w:val="single" w:sz="4" w:space="0" w:color="auto"/>
              <w:bottom w:val="single" w:sz="4" w:space="0" w:color="auto"/>
              <w:right w:val="single" w:sz="4" w:space="0" w:color="auto"/>
            </w:tcBorders>
            <w:vAlign w:val="center"/>
            <w:hideMark/>
          </w:tcPr>
          <w:p w14:paraId="309B7B71" w14:textId="77777777" w:rsidR="00AF612B" w:rsidRPr="00007314" w:rsidRDefault="00AF612B" w:rsidP="0062320F">
            <w:pPr>
              <w:spacing w:after="0" w:line="252" w:lineRule="auto"/>
              <w:jc w:val="center"/>
              <w:rPr>
                <w:b/>
                <w:lang w:val="de-AT"/>
              </w:rPr>
            </w:pPr>
            <w:r w:rsidRPr="00007314">
              <w:rPr>
                <w:b/>
                <w:lang w:val="de-AT"/>
              </w:rPr>
              <w:t>W1</w:t>
            </w:r>
          </w:p>
        </w:tc>
        <w:tc>
          <w:tcPr>
            <w:tcW w:w="6237" w:type="dxa"/>
            <w:tcBorders>
              <w:top w:val="single" w:sz="4" w:space="0" w:color="auto"/>
              <w:left w:val="single" w:sz="4" w:space="0" w:color="auto"/>
              <w:right w:val="single" w:sz="4" w:space="0" w:color="auto"/>
            </w:tcBorders>
          </w:tcPr>
          <w:p w14:paraId="57DB6BD3" w14:textId="77777777" w:rsidR="00AF612B" w:rsidRPr="00007314" w:rsidRDefault="00AF612B" w:rsidP="0062320F">
            <w:pPr>
              <w:suppressAutoHyphens/>
              <w:spacing w:after="0"/>
              <w:jc w:val="both"/>
              <w:rPr>
                <w:b/>
                <w:lang w:eastAsia="ar-SA"/>
              </w:rPr>
            </w:pPr>
            <w:r w:rsidRPr="00007314">
              <w:rPr>
                <w:rFonts w:cs="Arial"/>
              </w:rPr>
              <w:t xml:space="preserve">Wprowadzenie do ubezpieczenia Klauzuli funduszu prewencyjnego, zgodnie z którą Wykonawca </w:t>
            </w:r>
            <w:r w:rsidRPr="00007314">
              <w:t>stawia do dyspozycji Zamawiającego fundusz prewencyjny w wysokości 10% zainkasowanej składki. Środki z funduszu prewencyjnego mogą być wykorzystane na cele służące poprawie bezpieczeństwa poprzez zmniejszenie ryzyka wystąpienia zdarzenia ubezpieczeniowego.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46C53" w14:textId="77777777" w:rsidR="00AF612B" w:rsidRPr="00007314" w:rsidRDefault="00AF612B" w:rsidP="0062320F">
            <w:pPr>
              <w:spacing w:after="0"/>
            </w:pPr>
            <w:r w:rsidRPr="00007314">
              <w:t>3 pkt.</w:t>
            </w:r>
          </w:p>
        </w:tc>
      </w:tr>
      <w:tr w:rsidR="00AF612B" w:rsidRPr="00007314" w14:paraId="2317E463" w14:textId="77777777" w:rsidTr="00740B4D">
        <w:tc>
          <w:tcPr>
            <w:tcW w:w="2269" w:type="dxa"/>
            <w:tcBorders>
              <w:top w:val="single" w:sz="4" w:space="0" w:color="auto"/>
              <w:left w:val="single" w:sz="4" w:space="0" w:color="auto"/>
              <w:right w:val="single" w:sz="4" w:space="0" w:color="auto"/>
            </w:tcBorders>
            <w:shd w:val="clear" w:color="auto" w:fill="auto"/>
            <w:vAlign w:val="center"/>
          </w:tcPr>
          <w:p w14:paraId="710E4268" w14:textId="77777777" w:rsidR="00AF612B" w:rsidRPr="00007314" w:rsidRDefault="00AF612B" w:rsidP="0062320F">
            <w:pPr>
              <w:spacing w:after="0" w:line="252" w:lineRule="auto"/>
              <w:jc w:val="center"/>
              <w:rPr>
                <w:b/>
                <w:highlight w:val="yellow"/>
              </w:rPr>
            </w:pPr>
            <w:r w:rsidRPr="00007314">
              <w:rPr>
                <w:b/>
              </w:rPr>
              <w:t>W2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16796E" w14:textId="77777777" w:rsidR="00AF612B" w:rsidRPr="00007314" w:rsidRDefault="00AF612B" w:rsidP="0062320F">
            <w:pPr>
              <w:pStyle w:val="Default"/>
              <w:jc w:val="both"/>
              <w:rPr>
                <w:rFonts w:asciiTheme="minorHAnsi" w:hAnsiTheme="minorHAnsi"/>
                <w:sz w:val="22"/>
                <w:szCs w:val="22"/>
              </w:rPr>
            </w:pPr>
            <w:r w:rsidRPr="00007314">
              <w:rPr>
                <w:rFonts w:asciiTheme="minorHAnsi" w:hAnsiTheme="minorHAnsi"/>
                <w:sz w:val="22"/>
                <w:szCs w:val="22"/>
              </w:rPr>
              <w:t xml:space="preserve">Klauzula gwarantowanej sumy ubezpieczenia dla pojazdów </w:t>
            </w:r>
            <w:r w:rsidRPr="00007314">
              <w:rPr>
                <w:rFonts w:asciiTheme="minorHAnsi" w:hAnsiTheme="minorHAnsi"/>
                <w:sz w:val="22"/>
                <w:szCs w:val="22"/>
                <w:lang w:eastAsia="ar-SA"/>
              </w:rPr>
              <w:t>używanych (powyżej 12 miesięcy od daty wystawienia faktury)</w:t>
            </w:r>
            <w:r w:rsidRPr="00007314">
              <w:rPr>
                <w:rFonts w:asciiTheme="minorHAnsi" w:hAnsiTheme="minorHAnsi"/>
                <w:sz w:val="22"/>
                <w:szCs w:val="22"/>
              </w:rPr>
              <w:t xml:space="preserve"> – ustalona zgodnie z pkt. 3.2.2 d Opisu Przedmiotu Zamówienia suma ubezpieczenia jest stała przez okres trwania polisy (nie będzie ustalana wartość rynkowa pojazdu z dnia szkody).</w:t>
            </w:r>
          </w:p>
        </w:tc>
        <w:tc>
          <w:tcPr>
            <w:tcW w:w="992" w:type="dxa"/>
            <w:tcBorders>
              <w:top w:val="single" w:sz="4" w:space="0" w:color="auto"/>
              <w:left w:val="single" w:sz="4" w:space="0" w:color="auto"/>
              <w:right w:val="single" w:sz="4" w:space="0" w:color="auto"/>
            </w:tcBorders>
            <w:shd w:val="clear" w:color="auto" w:fill="auto"/>
            <w:vAlign w:val="center"/>
          </w:tcPr>
          <w:p w14:paraId="383D4F4C" w14:textId="77777777" w:rsidR="00AF612B" w:rsidRPr="00007314" w:rsidRDefault="00AF612B" w:rsidP="0062320F">
            <w:pPr>
              <w:spacing w:after="0"/>
              <w:rPr>
                <w:highlight w:val="yellow"/>
              </w:rPr>
            </w:pPr>
            <w:r w:rsidRPr="00007314">
              <w:t>10 pkt.</w:t>
            </w:r>
          </w:p>
        </w:tc>
      </w:tr>
      <w:tr w:rsidR="00AF612B" w:rsidRPr="00007314" w14:paraId="4D566F2D" w14:textId="77777777" w:rsidTr="00740B4D">
        <w:tc>
          <w:tcPr>
            <w:tcW w:w="2269" w:type="dxa"/>
            <w:tcBorders>
              <w:top w:val="single" w:sz="4" w:space="0" w:color="auto"/>
              <w:left w:val="single" w:sz="4" w:space="0" w:color="auto"/>
              <w:bottom w:val="single" w:sz="4" w:space="0" w:color="auto"/>
              <w:right w:val="single" w:sz="4" w:space="0" w:color="auto"/>
            </w:tcBorders>
            <w:vAlign w:val="center"/>
          </w:tcPr>
          <w:p w14:paraId="66A17245" w14:textId="77777777" w:rsidR="00AF612B" w:rsidRPr="00007314" w:rsidRDefault="00AF612B" w:rsidP="0062320F">
            <w:pPr>
              <w:spacing w:after="120" w:line="252" w:lineRule="auto"/>
              <w:jc w:val="center"/>
              <w:rPr>
                <w:b/>
                <w:highlight w:val="yellow"/>
              </w:rPr>
            </w:pPr>
            <w:r w:rsidRPr="00007314">
              <w:rPr>
                <w:b/>
              </w:rPr>
              <w:t>W3</w:t>
            </w:r>
          </w:p>
        </w:tc>
        <w:tc>
          <w:tcPr>
            <w:tcW w:w="6237" w:type="dxa"/>
            <w:tcBorders>
              <w:top w:val="single" w:sz="4" w:space="0" w:color="auto"/>
              <w:left w:val="single" w:sz="4" w:space="0" w:color="auto"/>
              <w:bottom w:val="single" w:sz="4" w:space="0" w:color="auto"/>
              <w:right w:val="single" w:sz="4" w:space="0" w:color="auto"/>
            </w:tcBorders>
          </w:tcPr>
          <w:p w14:paraId="5AA9A5C5" w14:textId="77777777" w:rsidR="00AF612B" w:rsidRPr="00007314" w:rsidRDefault="00AF612B" w:rsidP="0062320F">
            <w:pPr>
              <w:rPr>
                <w:color w:val="002060"/>
              </w:rPr>
            </w:pPr>
            <w:r w:rsidRPr="00007314">
              <w:rPr>
                <w:bCs/>
              </w:rPr>
              <w:t>Klauzula dodatkowych kosztów sądowych</w:t>
            </w:r>
            <w:r w:rsidRPr="00007314">
              <w:t>: ustala się, że ochrona ubezpieczeniowa obejmuje dodatkowe koszty sądowe, w tym koszty zastępstwa prawnego i procesowego  zasądzone wyrokiem sądu w postępowaniu karnym i cywilnym.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495534" w14:textId="77777777" w:rsidR="00AF612B" w:rsidRPr="00007314" w:rsidRDefault="00AF612B" w:rsidP="0062320F">
            <w:pPr>
              <w:rPr>
                <w:highlight w:val="yellow"/>
              </w:rPr>
            </w:pPr>
            <w:r w:rsidRPr="00007314">
              <w:t>7 pkt</w:t>
            </w:r>
          </w:p>
        </w:tc>
      </w:tr>
    </w:tbl>
    <w:p w14:paraId="07F3EF89" w14:textId="77777777" w:rsidR="00AF612B" w:rsidRPr="00007314" w:rsidRDefault="00AF612B" w:rsidP="00AF612B">
      <w:pPr>
        <w:spacing w:after="120" w:line="252" w:lineRule="auto"/>
        <w:ind w:left="720"/>
        <w:rPr>
          <w:i/>
        </w:rPr>
      </w:pPr>
    </w:p>
    <w:p w14:paraId="2E03D84B" w14:textId="77777777" w:rsidR="00807D2F" w:rsidRPr="00807D2F" w:rsidRDefault="00807D2F" w:rsidP="001E512C">
      <w:pPr>
        <w:spacing w:after="120" w:line="252" w:lineRule="auto"/>
        <w:jc w:val="both"/>
      </w:pPr>
      <w:r w:rsidRPr="00807D2F">
        <w:t>Wykonawca może zaakceptować wszystkie lub wybrane zmiany warunków ubezpieczenia</w:t>
      </w:r>
      <w:r w:rsidRPr="00807D2F">
        <w:br/>
        <w:t xml:space="preserve">lub nie zaakceptować żadnej zmiany W przypadku niezaakceptowania przez Wykonawcę proponowanych zmian otrzyma on 0 (zero) punktów. Za akceptację każdej z proponowanych zmian Wykonawca otrzyma odpowiednią liczbę punktów wynikającą z powyższej tabeli – łącznie maksymalnie 20 (dwadzieścia) punktów. </w:t>
      </w:r>
    </w:p>
    <w:p w14:paraId="69A9F061" w14:textId="77777777" w:rsidR="00807D2F" w:rsidRPr="00007314" w:rsidRDefault="00807D2F" w:rsidP="00AF612B">
      <w:pPr>
        <w:spacing w:after="120"/>
      </w:pPr>
    </w:p>
    <w:p w14:paraId="0DBEA339" w14:textId="77777777" w:rsidR="00AF612B" w:rsidRPr="00007314" w:rsidRDefault="00AF612B" w:rsidP="00AF612B">
      <w:pPr>
        <w:spacing w:after="120" w:line="252" w:lineRule="auto"/>
      </w:pPr>
      <w:r w:rsidRPr="00007314">
        <w:t xml:space="preserve">Punktacja za Kryterium Warunki Ubezpieczenia zostanie obliczona według następującego wzoru: </w:t>
      </w:r>
    </w:p>
    <w:p w14:paraId="65887F4C" w14:textId="77777777" w:rsidR="00AF612B" w:rsidRPr="00007314" w:rsidRDefault="00AF612B" w:rsidP="00AF612B">
      <w:pPr>
        <w:spacing w:after="120" w:line="252" w:lineRule="auto"/>
        <w:rPr>
          <w:b/>
        </w:rPr>
      </w:pPr>
      <w:r w:rsidRPr="00007314">
        <w:rPr>
          <w:b/>
        </w:rPr>
        <w:t>W = W1 + W2 + W3</w:t>
      </w:r>
    </w:p>
    <w:p w14:paraId="40886C4A" w14:textId="77777777" w:rsidR="00AF612B" w:rsidRPr="00007314" w:rsidRDefault="00AF612B" w:rsidP="00AF612B">
      <w:pPr>
        <w:pStyle w:val="Default"/>
        <w:numPr>
          <w:ilvl w:val="0"/>
          <w:numId w:val="39"/>
        </w:numPr>
        <w:spacing w:after="14"/>
        <w:rPr>
          <w:rFonts w:asciiTheme="minorHAnsi" w:hAnsiTheme="minorHAnsi" w:cs="Times New Roman"/>
          <w:color w:val="auto"/>
          <w:sz w:val="22"/>
          <w:szCs w:val="22"/>
        </w:rPr>
      </w:pPr>
      <w:r w:rsidRPr="00007314">
        <w:rPr>
          <w:rFonts w:asciiTheme="minorHAnsi" w:hAnsiTheme="minorHAnsi" w:cs="Times New Roman"/>
          <w:color w:val="auto"/>
          <w:sz w:val="22"/>
          <w:szCs w:val="22"/>
        </w:rPr>
        <w:t xml:space="preserve">Punktacje będą zaokrąglane z dokładnością do dwóch miejsc po przecinku </w:t>
      </w:r>
    </w:p>
    <w:p w14:paraId="4CAF1904" w14:textId="72AE0E73" w:rsidR="00AF612B" w:rsidRPr="00007314" w:rsidRDefault="00AF612B" w:rsidP="00AF612B">
      <w:pPr>
        <w:pStyle w:val="Akapitzlist"/>
        <w:numPr>
          <w:ilvl w:val="0"/>
          <w:numId w:val="39"/>
        </w:numPr>
        <w:spacing w:before="120" w:after="0" w:line="240" w:lineRule="auto"/>
        <w:jc w:val="both"/>
        <w:rPr>
          <w:b/>
          <w:kern w:val="24"/>
        </w:rPr>
      </w:pPr>
      <w:r w:rsidRPr="00007314">
        <w:rPr>
          <w:b/>
        </w:rPr>
        <w:lastRenderedPageBreak/>
        <w:t xml:space="preserve">Ogólna punktacja (P) w zadaniu nr </w:t>
      </w:r>
      <w:r w:rsidR="00FE42B0">
        <w:rPr>
          <w:b/>
        </w:rPr>
        <w:t>2</w:t>
      </w:r>
      <w:r w:rsidRPr="00007314">
        <w:rPr>
          <w:b/>
        </w:rPr>
        <w:t xml:space="preserve"> zostanie obliczona wg wzoru: </w:t>
      </w:r>
      <w:r w:rsidRPr="00007314">
        <w:rPr>
          <w:b/>
          <w:kern w:val="24"/>
        </w:rPr>
        <w:t>P = C (kryterium Cena)  + W (kryterium Warunki ubezpieczenia)</w:t>
      </w:r>
    </w:p>
    <w:p w14:paraId="745F88E4" w14:textId="77777777" w:rsidR="00AF612B" w:rsidRPr="00007314" w:rsidRDefault="00AF612B" w:rsidP="00AF612B">
      <w:pPr>
        <w:pStyle w:val="Akapitzlist"/>
        <w:numPr>
          <w:ilvl w:val="0"/>
          <w:numId w:val="39"/>
        </w:numPr>
        <w:spacing w:before="120" w:after="0" w:line="240" w:lineRule="auto"/>
        <w:jc w:val="both"/>
        <w:rPr>
          <w:b/>
          <w:kern w:val="24"/>
        </w:rPr>
      </w:pPr>
      <w:r w:rsidRPr="00007314">
        <w:t xml:space="preserve">Za najkorzystniejszą zostanie uznana oferta, która uzyska </w:t>
      </w:r>
      <w:r w:rsidRPr="00007314">
        <w:rPr>
          <w:u w:val="single"/>
        </w:rPr>
        <w:t>najwyższą łączną liczbę punktów</w:t>
      </w:r>
      <w:r w:rsidRPr="00007314">
        <w:t xml:space="preserve"> </w:t>
      </w:r>
      <w:r w:rsidRPr="00007314">
        <w:br/>
        <w:t>w ww. kryteriach.</w:t>
      </w:r>
      <w:r w:rsidRPr="00007314">
        <w:rPr>
          <w:kern w:val="24"/>
        </w:rPr>
        <w:t xml:space="preserve"> </w:t>
      </w:r>
    </w:p>
    <w:p w14:paraId="101375E3" w14:textId="77777777" w:rsidR="00AF612B" w:rsidRPr="00007314" w:rsidRDefault="00AF612B" w:rsidP="00AF612B">
      <w:pPr>
        <w:pStyle w:val="Akapitzlist"/>
        <w:numPr>
          <w:ilvl w:val="0"/>
          <w:numId w:val="39"/>
        </w:numPr>
        <w:spacing w:before="120" w:after="0" w:line="240" w:lineRule="auto"/>
        <w:jc w:val="both"/>
        <w:rPr>
          <w:b/>
          <w:kern w:val="24"/>
        </w:rPr>
      </w:pPr>
      <w:r w:rsidRPr="00007314">
        <w:t xml:space="preserve">Badania i oceny ofert dokona komisja przetargowa powołana przez Zamawiającego, w oparciu o wymagania postawione w SIWZ. </w:t>
      </w:r>
    </w:p>
    <w:p w14:paraId="559E3E09" w14:textId="77777777" w:rsidR="00AF612B" w:rsidRPr="00007314" w:rsidRDefault="00AF612B" w:rsidP="00AF612B">
      <w:pPr>
        <w:spacing w:after="120" w:line="252" w:lineRule="auto"/>
        <w:rPr>
          <w:b/>
          <w:i/>
        </w:rPr>
      </w:pPr>
    </w:p>
    <w:p w14:paraId="32BEBE6E" w14:textId="1A6D4A7D" w:rsidR="00AF612B" w:rsidRPr="00007314" w:rsidRDefault="00AF612B" w:rsidP="00AF612B">
      <w:pPr>
        <w:spacing w:after="120"/>
        <w:rPr>
          <w:i/>
        </w:rPr>
      </w:pPr>
      <w:r w:rsidRPr="00007314">
        <w:rPr>
          <w:i/>
        </w:rPr>
        <w:t xml:space="preserve">W przypadku akceptacji zmiany warunków ubezpieczenia odpowiednie postanowienia/klauzule dodatkowe w Opisie Przedmiotu Zamówienia dla Zadania </w:t>
      </w:r>
      <w:r w:rsidR="00FE42B0">
        <w:rPr>
          <w:i/>
        </w:rPr>
        <w:t>2</w:t>
      </w:r>
      <w:r w:rsidRPr="00007314">
        <w:rPr>
          <w:i/>
        </w:rPr>
        <w:t xml:space="preserve"> otrzymają brzmienie zgodnie z treścią zaakceptowanej zmiany, tj.:</w:t>
      </w:r>
    </w:p>
    <w:p w14:paraId="5A9C4FA9" w14:textId="77777777" w:rsidR="00AF612B" w:rsidRPr="00007314" w:rsidRDefault="00AF612B" w:rsidP="00AF612B">
      <w:pPr>
        <w:pStyle w:val="Akapitzlist"/>
        <w:numPr>
          <w:ilvl w:val="0"/>
          <w:numId w:val="42"/>
        </w:numPr>
        <w:spacing w:after="0"/>
        <w:jc w:val="both"/>
        <w:rPr>
          <w:i/>
        </w:rPr>
      </w:pPr>
      <w:r w:rsidRPr="00007314">
        <w:rPr>
          <w:i/>
        </w:rPr>
        <w:t xml:space="preserve">Kryterium oznaczonego jako W1, </w:t>
      </w:r>
      <w:r w:rsidRPr="00007314">
        <w:rPr>
          <w:rFonts w:cs="Arial"/>
          <w:i/>
        </w:rPr>
        <w:t xml:space="preserve">do ubezpieczenia wprowadzona zostanie Klauzula funduszu prewencyjnego, zgodnie z którą Wykonawca </w:t>
      </w:r>
      <w:r w:rsidRPr="00007314">
        <w:rPr>
          <w:i/>
        </w:rPr>
        <w:t>stawia do dyspozycji Zamawiającego fundusz prewencyjny w wysokości 5% zainkasowanej składki. Środki z funduszu prewencyjnego mogą być wykorzystane na cele służące poprawie bezpieczeństwa poprzez zmniejszenie ryzyka wystąpienia zdarzenia ubezpieczeniowego.</w:t>
      </w:r>
    </w:p>
    <w:p w14:paraId="39A8EE19" w14:textId="77777777" w:rsidR="00AF612B" w:rsidRPr="00007314" w:rsidRDefault="00AF612B" w:rsidP="00AF612B">
      <w:pPr>
        <w:pStyle w:val="Akapitzlist"/>
        <w:numPr>
          <w:ilvl w:val="0"/>
          <w:numId w:val="42"/>
        </w:numPr>
        <w:spacing w:after="0"/>
        <w:jc w:val="both"/>
        <w:rPr>
          <w:i/>
        </w:rPr>
      </w:pPr>
      <w:r w:rsidRPr="00007314">
        <w:rPr>
          <w:i/>
        </w:rPr>
        <w:t xml:space="preserve">Kryterium oznaczonego jako W2 – zastosowanie będzie mieć klauzula gwarantowanej sumy ubezpieczenia dla pojazdów używanych (powyżej 12 miesięcy od daty pierwszej rejestracji): ustalona zgodnie z pkt. 3.2.2 d Opisu Przedmiotu Zamówienia suma ubezpieczenia </w:t>
      </w:r>
      <w:r w:rsidRPr="00007314">
        <w:rPr>
          <w:rFonts w:cs="Arial"/>
          <w:i/>
          <w:color w:val="000000"/>
        </w:rPr>
        <w:t>jest stała przez okres trwania polisy (nie będzie ustalana wartość rynkowa pojazdu z dnia szkody).</w:t>
      </w:r>
    </w:p>
    <w:p w14:paraId="20C2F78C" w14:textId="77777777" w:rsidR="00AF612B" w:rsidRPr="00007314" w:rsidRDefault="00AF612B" w:rsidP="00AF612B">
      <w:pPr>
        <w:pStyle w:val="Akapitzlist"/>
        <w:numPr>
          <w:ilvl w:val="0"/>
          <w:numId w:val="42"/>
        </w:numPr>
        <w:spacing w:after="0"/>
        <w:jc w:val="both"/>
        <w:rPr>
          <w:i/>
        </w:rPr>
      </w:pPr>
      <w:r w:rsidRPr="00007314">
        <w:rPr>
          <w:i/>
        </w:rPr>
        <w:t>Kryterium oznaczonego jako W3 – do ubezpieczenia wprowadzona zostanie klauzula dodatkowych kosztów sądowych, zgodnie z którą ochrona ubezpieczeniowa obejmuje dodatkowe koszty sądowe, w tym koszty zastępstwa prawnego i procesowego  zasądzone wyrokiem sądu w postępowaniu karnym i cywilnym.</w:t>
      </w:r>
    </w:p>
    <w:p w14:paraId="729F6DC1" w14:textId="77777777" w:rsidR="00AF612B" w:rsidRPr="00007314" w:rsidRDefault="00AF612B" w:rsidP="00AF612B">
      <w:pPr>
        <w:spacing w:before="120" w:after="120" w:line="240" w:lineRule="auto"/>
        <w:rPr>
          <w:b/>
        </w:rPr>
      </w:pPr>
    </w:p>
    <w:p w14:paraId="69427248" w14:textId="77777777" w:rsidR="00AF612B" w:rsidRPr="00007314" w:rsidRDefault="00AF612B" w:rsidP="00AF612B">
      <w:pPr>
        <w:spacing w:before="120" w:after="120" w:line="240" w:lineRule="auto"/>
        <w:rPr>
          <w:b/>
        </w:rPr>
      </w:pPr>
      <w:r w:rsidRPr="00007314">
        <w:rPr>
          <w:b/>
        </w:rPr>
        <w:t>Kryteria dla Zadania nr 3</w:t>
      </w:r>
    </w:p>
    <w:p w14:paraId="35272706" w14:textId="77777777" w:rsidR="00AF612B" w:rsidRPr="00007314" w:rsidRDefault="00AF612B" w:rsidP="00AF612B">
      <w:pPr>
        <w:spacing w:before="120" w:after="120" w:line="240" w:lineRule="auto"/>
        <w:jc w:val="both"/>
      </w:pPr>
      <w:r w:rsidRPr="00007314">
        <w:t>Kryteria, którymi Zamawiający będzie kierował się przy wyborze oferty wraz z podaniem znaczenia (wag) tych kryteriów:</w:t>
      </w:r>
    </w:p>
    <w:p w14:paraId="3A10D61D" w14:textId="6F53547E" w:rsidR="00AF612B" w:rsidRPr="00007314" w:rsidRDefault="00AF612B" w:rsidP="00AF612B">
      <w:pPr>
        <w:numPr>
          <w:ilvl w:val="0"/>
          <w:numId w:val="41"/>
        </w:numPr>
        <w:spacing w:after="120" w:line="240" w:lineRule="auto"/>
        <w:jc w:val="both"/>
      </w:pPr>
      <w:r w:rsidRPr="00007314">
        <w:t>Cena oferty (C)</w:t>
      </w:r>
      <w:r w:rsidRPr="00007314">
        <w:tab/>
      </w:r>
      <w:r w:rsidRPr="00007314">
        <w:tab/>
      </w:r>
      <w:r w:rsidRPr="00007314">
        <w:tab/>
      </w:r>
      <w:r w:rsidRPr="00007314">
        <w:tab/>
      </w:r>
      <w:r w:rsidRPr="00007314">
        <w:tab/>
      </w:r>
      <w:r w:rsidRPr="00007314">
        <w:tab/>
      </w:r>
      <w:r w:rsidRPr="00007314">
        <w:tab/>
      </w:r>
      <w:r w:rsidRPr="00007314">
        <w:tab/>
      </w:r>
      <w:r w:rsidRPr="00007314">
        <w:tab/>
        <w:t>- 80%</w:t>
      </w:r>
    </w:p>
    <w:p w14:paraId="32F2F492" w14:textId="6ADD65E6" w:rsidR="00AF612B" w:rsidRPr="00007314" w:rsidRDefault="00AF612B" w:rsidP="00AF612B">
      <w:pPr>
        <w:numPr>
          <w:ilvl w:val="0"/>
          <w:numId w:val="41"/>
        </w:numPr>
        <w:spacing w:after="120" w:line="240" w:lineRule="auto"/>
        <w:jc w:val="both"/>
      </w:pPr>
      <w:r w:rsidRPr="00007314">
        <w:t>Warunki ubezpieczenia W (W= W1+W2+W3+W4+W5+W6+W7+W8+W9)</w:t>
      </w:r>
      <w:r w:rsidRPr="00007314">
        <w:tab/>
        <w:t>- 20%</w:t>
      </w:r>
    </w:p>
    <w:p w14:paraId="2D9D5D4E" w14:textId="77777777" w:rsidR="00AF612B" w:rsidRPr="00007314" w:rsidRDefault="00AF612B" w:rsidP="00AF612B">
      <w:pPr>
        <w:spacing w:after="120"/>
        <w:ind w:left="357" w:firstLine="3"/>
        <w:jc w:val="both"/>
      </w:pPr>
      <w:r w:rsidRPr="00007314">
        <w:t>gdzie podane wyżej wagi procentowe są wagami punktowymi według zasady: jeden % = jeden pkt</w:t>
      </w:r>
    </w:p>
    <w:p w14:paraId="09115221" w14:textId="77777777" w:rsidR="00AF612B" w:rsidRPr="00007314" w:rsidRDefault="00AF612B" w:rsidP="00AF612B">
      <w:pPr>
        <w:spacing w:after="120" w:line="240" w:lineRule="auto"/>
        <w:jc w:val="both"/>
      </w:pPr>
      <w:r w:rsidRPr="00007314">
        <w:t>Oferty będą oceniane przez Komisję Przetargową wg metody i kryteriów wskazanych poniżej:</w:t>
      </w:r>
    </w:p>
    <w:p w14:paraId="788878D4" w14:textId="77777777" w:rsidR="00AF612B" w:rsidRPr="00007314" w:rsidRDefault="00AF612B" w:rsidP="00AF612B">
      <w:pPr>
        <w:pStyle w:val="Akapitzlist"/>
        <w:spacing w:after="120"/>
        <w:jc w:val="both"/>
      </w:pPr>
    </w:p>
    <w:p w14:paraId="269049BD" w14:textId="77777777" w:rsidR="00AF612B" w:rsidRPr="00007314" w:rsidRDefault="00AF612B" w:rsidP="00AF612B">
      <w:pPr>
        <w:pStyle w:val="Akapitzlist"/>
        <w:numPr>
          <w:ilvl w:val="0"/>
          <w:numId w:val="35"/>
        </w:numPr>
        <w:spacing w:after="120" w:line="252" w:lineRule="auto"/>
        <w:jc w:val="both"/>
      </w:pPr>
      <w:r w:rsidRPr="00007314">
        <w:rPr>
          <w:b/>
        </w:rPr>
        <w:t xml:space="preserve">Kryterium “cena oferty” (wskaźnik oznaczony jako “C”) </w:t>
      </w:r>
      <w:r w:rsidRPr="00007314">
        <w:t xml:space="preserve">– oferta z najniższą ceną brutto uzyska 80 pkt. </w:t>
      </w:r>
    </w:p>
    <w:p w14:paraId="0869A0B8" w14:textId="77777777" w:rsidR="00AF612B" w:rsidRPr="00007314" w:rsidRDefault="00AF612B" w:rsidP="00AF612B">
      <w:pPr>
        <w:spacing w:after="120" w:line="252" w:lineRule="auto"/>
        <w:ind w:left="284"/>
        <w:jc w:val="both"/>
      </w:pPr>
      <w:r w:rsidRPr="00007314">
        <w:t>Pozostałe oferty otrzymają punkty w ilości odpowiednio mniejszej według następującego wzoru:</w:t>
      </w:r>
    </w:p>
    <w:p w14:paraId="57476A24" w14:textId="77777777" w:rsidR="00AF612B" w:rsidRPr="00007314" w:rsidRDefault="00AF612B" w:rsidP="00AF612B">
      <w:pPr>
        <w:tabs>
          <w:tab w:val="left" w:pos="3969"/>
        </w:tabs>
        <w:spacing w:after="120"/>
        <w:jc w:val="center"/>
        <w:rPr>
          <w:b/>
        </w:rPr>
      </w:pPr>
      <w:r w:rsidRPr="00007314">
        <w:rPr>
          <w:b/>
        </w:rPr>
        <w:t>najniższa cena ofertowa</w:t>
      </w:r>
    </w:p>
    <w:p w14:paraId="69BFC2DD" w14:textId="77777777" w:rsidR="00AF612B" w:rsidRPr="00007314" w:rsidRDefault="00AF612B" w:rsidP="00AF612B">
      <w:pPr>
        <w:tabs>
          <w:tab w:val="left" w:pos="709"/>
          <w:tab w:val="left" w:pos="3969"/>
        </w:tabs>
        <w:spacing w:after="120"/>
        <w:jc w:val="center"/>
        <w:rPr>
          <w:b/>
        </w:rPr>
      </w:pPr>
      <w:r w:rsidRPr="00007314">
        <w:rPr>
          <w:b/>
        </w:rPr>
        <w:t>C = ---------------------------------------------------------------------------------   x 80</w:t>
      </w:r>
    </w:p>
    <w:p w14:paraId="7CA385AD" w14:textId="37C5AAFC" w:rsidR="00AF612B" w:rsidRDefault="00AF612B" w:rsidP="00AF612B">
      <w:pPr>
        <w:tabs>
          <w:tab w:val="left" w:pos="3969"/>
        </w:tabs>
        <w:spacing w:after="120"/>
        <w:jc w:val="center"/>
        <w:rPr>
          <w:b/>
        </w:rPr>
      </w:pPr>
      <w:r w:rsidRPr="00007314">
        <w:rPr>
          <w:b/>
        </w:rPr>
        <w:t>cena oferty badanej</w:t>
      </w:r>
    </w:p>
    <w:p w14:paraId="353D4DC7" w14:textId="77777777" w:rsidR="00740B4D" w:rsidRPr="00007314" w:rsidRDefault="00740B4D" w:rsidP="00AF612B">
      <w:pPr>
        <w:tabs>
          <w:tab w:val="left" w:pos="3969"/>
        </w:tabs>
        <w:spacing w:after="120"/>
        <w:jc w:val="center"/>
      </w:pPr>
    </w:p>
    <w:p w14:paraId="284C458B" w14:textId="6DCF68DC" w:rsidR="00AF612B" w:rsidRPr="00007314" w:rsidRDefault="00AF612B" w:rsidP="00AF612B">
      <w:pPr>
        <w:pStyle w:val="Akapitzlist"/>
        <w:numPr>
          <w:ilvl w:val="0"/>
          <w:numId w:val="35"/>
        </w:numPr>
        <w:spacing w:after="120" w:line="252" w:lineRule="auto"/>
        <w:jc w:val="both"/>
      </w:pPr>
      <w:r w:rsidRPr="00007314">
        <w:rPr>
          <w:b/>
        </w:rPr>
        <w:lastRenderedPageBreak/>
        <w:t xml:space="preserve"> Kryterium “Warunki ubezpieczenia” (wskaźnik oznaczony jako “W”)</w:t>
      </w:r>
      <w:r w:rsidRPr="00007314">
        <w:t xml:space="preserve"> będzie rozpatrywane na podstawie akceptacji przez Wykonawcę zmian warunków ubezpieczenia w stosunku do warunków minimalnych opisanych w Opisie Przedmiotu Zamówienia dla Zadania </w:t>
      </w:r>
      <w:r w:rsidR="00FE42B0">
        <w:t>3</w:t>
      </w:r>
      <w:r w:rsidRPr="00007314">
        <w:t>.</w:t>
      </w:r>
    </w:p>
    <w:p w14:paraId="1114BD8A" w14:textId="77777777" w:rsidR="00AF612B" w:rsidRPr="00007314" w:rsidRDefault="00AF612B" w:rsidP="00AF612B">
      <w:pPr>
        <w:spacing w:after="120" w:line="252" w:lineRule="auto"/>
        <w:jc w:val="both"/>
      </w:pPr>
      <w:r w:rsidRPr="00007314">
        <w:t xml:space="preserve">Wykonawca może zaakceptować zmianę warunków ubezpieczenia lub nie zaakceptować zmiany. </w:t>
      </w:r>
    </w:p>
    <w:p w14:paraId="63B81B04" w14:textId="5193DE37" w:rsidR="00AF612B" w:rsidRDefault="00AF612B" w:rsidP="00AF612B">
      <w:pPr>
        <w:spacing w:after="120" w:line="252" w:lineRule="auto"/>
        <w:ind w:left="247"/>
        <w:jc w:val="both"/>
      </w:pPr>
    </w:p>
    <w:p w14:paraId="30C0CA1C" w14:textId="77777777" w:rsidR="00740B4D" w:rsidRPr="00007314" w:rsidRDefault="00740B4D" w:rsidP="00AF612B">
      <w:pPr>
        <w:spacing w:after="120" w:line="252" w:lineRule="auto"/>
        <w:ind w:left="247"/>
        <w:jc w:val="both"/>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5953"/>
        <w:gridCol w:w="1134"/>
      </w:tblGrid>
      <w:tr w:rsidR="00AF612B" w:rsidRPr="00007314" w14:paraId="02F1F9DF" w14:textId="77777777" w:rsidTr="0062320F">
        <w:tc>
          <w:tcPr>
            <w:tcW w:w="2553" w:type="dxa"/>
            <w:tcBorders>
              <w:top w:val="single" w:sz="4" w:space="0" w:color="auto"/>
              <w:left w:val="single" w:sz="4" w:space="0" w:color="auto"/>
              <w:bottom w:val="single" w:sz="4" w:space="0" w:color="auto"/>
              <w:right w:val="single" w:sz="4" w:space="0" w:color="auto"/>
            </w:tcBorders>
            <w:hideMark/>
          </w:tcPr>
          <w:p w14:paraId="28F15806" w14:textId="77777777" w:rsidR="00AF612B" w:rsidRPr="00007314" w:rsidRDefault="00AF612B" w:rsidP="0062320F">
            <w:pPr>
              <w:spacing w:after="120" w:line="252" w:lineRule="auto"/>
              <w:jc w:val="center"/>
              <w:rPr>
                <w:b/>
              </w:rPr>
            </w:pPr>
            <w:r w:rsidRPr="00007314">
              <w:rPr>
                <w:b/>
              </w:rPr>
              <w:t>Oznaczenie proponowanych zmian w Kryterium „Warunki ubezpieczenia”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DCAA36A" w14:textId="77777777" w:rsidR="00AF612B" w:rsidRPr="00007314" w:rsidRDefault="00AF612B" w:rsidP="0062320F">
            <w:pPr>
              <w:spacing w:after="120" w:line="252" w:lineRule="auto"/>
              <w:jc w:val="center"/>
              <w:rPr>
                <w:lang w:val="de-AT"/>
              </w:rPr>
            </w:pPr>
            <w:r w:rsidRPr="00007314">
              <w:rPr>
                <w:b/>
                <w:lang w:val="de-AT"/>
              </w:rPr>
              <w:t>KRYTERIUM WARUNKI UBEZPIECZENIA „W“</w:t>
            </w:r>
          </w:p>
        </w:tc>
        <w:tc>
          <w:tcPr>
            <w:tcW w:w="1134" w:type="dxa"/>
            <w:tcBorders>
              <w:bottom w:val="single" w:sz="4" w:space="0" w:color="auto"/>
            </w:tcBorders>
            <w:vAlign w:val="center"/>
          </w:tcPr>
          <w:p w14:paraId="71EBED0D" w14:textId="77777777" w:rsidR="00AF612B" w:rsidRPr="00007314" w:rsidRDefault="00AF612B" w:rsidP="0062320F">
            <w:pPr>
              <w:rPr>
                <w:lang w:val="de-AT"/>
              </w:rPr>
            </w:pPr>
            <w:r w:rsidRPr="00007314">
              <w:rPr>
                <w:b/>
              </w:rPr>
              <w:t>Liczba punktów</w:t>
            </w:r>
          </w:p>
        </w:tc>
      </w:tr>
      <w:tr w:rsidR="00AF612B" w:rsidRPr="00007314" w14:paraId="637CBEF5" w14:textId="77777777" w:rsidTr="0062320F">
        <w:tc>
          <w:tcPr>
            <w:tcW w:w="2553" w:type="dxa"/>
            <w:tcBorders>
              <w:top w:val="single" w:sz="4" w:space="0" w:color="auto"/>
              <w:left w:val="single" w:sz="4" w:space="0" w:color="auto"/>
              <w:bottom w:val="single" w:sz="4" w:space="0" w:color="auto"/>
              <w:right w:val="single" w:sz="4" w:space="0" w:color="auto"/>
            </w:tcBorders>
            <w:vAlign w:val="center"/>
          </w:tcPr>
          <w:p w14:paraId="180B9417" w14:textId="77777777" w:rsidR="00AF612B" w:rsidRPr="00007314" w:rsidRDefault="00AF612B" w:rsidP="0062320F">
            <w:pPr>
              <w:spacing w:after="120" w:line="252" w:lineRule="auto"/>
              <w:jc w:val="center"/>
              <w:rPr>
                <w:b/>
                <w:lang w:val="de-AT"/>
              </w:rPr>
            </w:pPr>
            <w:r w:rsidRPr="00007314">
              <w:rPr>
                <w:b/>
                <w:lang w:val="de-AT"/>
              </w:rPr>
              <w:t>W1</w:t>
            </w:r>
          </w:p>
        </w:tc>
        <w:tc>
          <w:tcPr>
            <w:tcW w:w="5953" w:type="dxa"/>
            <w:tcBorders>
              <w:top w:val="single" w:sz="4" w:space="0" w:color="auto"/>
              <w:left w:val="single" w:sz="4" w:space="0" w:color="auto"/>
              <w:bottom w:val="single" w:sz="4" w:space="0" w:color="auto"/>
              <w:right w:val="single" w:sz="4" w:space="0" w:color="auto"/>
            </w:tcBorders>
          </w:tcPr>
          <w:p w14:paraId="0F3CF30E" w14:textId="77777777" w:rsidR="00AF612B" w:rsidRPr="00007314" w:rsidRDefault="00AF612B" w:rsidP="0062320F">
            <w:pPr>
              <w:suppressAutoHyphens/>
              <w:jc w:val="both"/>
              <w:rPr>
                <w:lang w:eastAsia="ar-SA"/>
              </w:rPr>
            </w:pPr>
            <w:r w:rsidRPr="00007314">
              <w:t>zwiększenie limitu z 1.000.000 PLN do 2.000.000 PLN na kary i grzywny administracyjne oraz cywilnoprawne w zakresie, w jakim ich pokrycie jest dopuszczalne przepisami prawa</w:t>
            </w:r>
          </w:p>
        </w:tc>
        <w:tc>
          <w:tcPr>
            <w:tcW w:w="1134" w:type="dxa"/>
            <w:tcBorders>
              <w:bottom w:val="nil"/>
            </w:tcBorders>
            <w:vAlign w:val="center"/>
          </w:tcPr>
          <w:p w14:paraId="30450926" w14:textId="77777777" w:rsidR="00AF612B" w:rsidRPr="00007314" w:rsidRDefault="00AF612B" w:rsidP="0062320F">
            <w:r w:rsidRPr="00007314">
              <w:t>3 pkt.</w:t>
            </w:r>
          </w:p>
        </w:tc>
      </w:tr>
      <w:tr w:rsidR="00AF612B" w:rsidRPr="00007314" w14:paraId="54067D52" w14:textId="77777777" w:rsidTr="0062320F">
        <w:tc>
          <w:tcPr>
            <w:tcW w:w="2553" w:type="dxa"/>
            <w:tcBorders>
              <w:top w:val="single" w:sz="4" w:space="0" w:color="auto"/>
              <w:left w:val="single" w:sz="4" w:space="0" w:color="auto"/>
              <w:bottom w:val="single" w:sz="4" w:space="0" w:color="auto"/>
              <w:right w:val="single" w:sz="4" w:space="0" w:color="auto"/>
            </w:tcBorders>
            <w:vAlign w:val="center"/>
          </w:tcPr>
          <w:p w14:paraId="43B6BA22" w14:textId="77777777" w:rsidR="00AF612B" w:rsidRPr="00007314" w:rsidRDefault="00AF612B" w:rsidP="0062320F">
            <w:pPr>
              <w:spacing w:after="120" w:line="252" w:lineRule="auto"/>
              <w:jc w:val="center"/>
              <w:rPr>
                <w:b/>
              </w:rPr>
            </w:pPr>
            <w:r w:rsidRPr="00007314">
              <w:rPr>
                <w:b/>
              </w:rPr>
              <w:t>W2</w:t>
            </w:r>
          </w:p>
        </w:tc>
        <w:tc>
          <w:tcPr>
            <w:tcW w:w="5953" w:type="dxa"/>
            <w:tcBorders>
              <w:top w:val="single" w:sz="4" w:space="0" w:color="auto"/>
              <w:left w:val="single" w:sz="4" w:space="0" w:color="auto"/>
              <w:bottom w:val="single" w:sz="4" w:space="0" w:color="auto"/>
              <w:right w:val="single" w:sz="4" w:space="0" w:color="auto"/>
            </w:tcBorders>
          </w:tcPr>
          <w:p w14:paraId="540F913A" w14:textId="77777777" w:rsidR="00AF612B" w:rsidRPr="00007314" w:rsidRDefault="00AF612B" w:rsidP="0062320F">
            <w:pPr>
              <w:suppressAutoHyphens/>
              <w:jc w:val="both"/>
              <w:rPr>
                <w:lang w:eastAsia="ar-SA"/>
              </w:rPr>
            </w:pPr>
            <w:r w:rsidRPr="00007314">
              <w:t>zwiększenie limitu z 10% sumy gwarancyjnej do 20% sumy gwarancyjnej na koszty public relations – koszty odzyskania dobrego imienia/koszty ochrony dobrego imienia/koszty wizerunku/zapobieżenia</w:t>
            </w:r>
          </w:p>
        </w:tc>
        <w:tc>
          <w:tcPr>
            <w:tcW w:w="1134" w:type="dxa"/>
            <w:tcBorders>
              <w:bottom w:val="nil"/>
            </w:tcBorders>
            <w:vAlign w:val="center"/>
          </w:tcPr>
          <w:p w14:paraId="744346F8" w14:textId="77777777" w:rsidR="00AF612B" w:rsidRPr="00007314" w:rsidRDefault="00AF612B" w:rsidP="0062320F">
            <w:r w:rsidRPr="00007314">
              <w:t>2 pkt.</w:t>
            </w:r>
          </w:p>
        </w:tc>
      </w:tr>
      <w:tr w:rsidR="00AF612B" w:rsidRPr="00007314" w14:paraId="619AAC1B" w14:textId="77777777" w:rsidTr="0062320F">
        <w:tc>
          <w:tcPr>
            <w:tcW w:w="2553" w:type="dxa"/>
            <w:tcBorders>
              <w:top w:val="single" w:sz="4" w:space="0" w:color="auto"/>
              <w:left w:val="single" w:sz="4" w:space="0" w:color="auto"/>
              <w:bottom w:val="single" w:sz="4" w:space="0" w:color="auto"/>
              <w:right w:val="single" w:sz="4" w:space="0" w:color="auto"/>
            </w:tcBorders>
            <w:vAlign w:val="center"/>
            <w:hideMark/>
          </w:tcPr>
          <w:p w14:paraId="18029BEB" w14:textId="77777777" w:rsidR="00AF612B" w:rsidRPr="00007314" w:rsidRDefault="00AF612B" w:rsidP="0062320F">
            <w:pPr>
              <w:spacing w:after="120" w:line="252" w:lineRule="auto"/>
              <w:jc w:val="center"/>
              <w:rPr>
                <w:b/>
                <w:lang w:val="de-AT"/>
              </w:rPr>
            </w:pPr>
            <w:r w:rsidRPr="00007314">
              <w:rPr>
                <w:b/>
                <w:lang w:val="de-AT"/>
              </w:rPr>
              <w:t>W3</w:t>
            </w:r>
          </w:p>
        </w:tc>
        <w:tc>
          <w:tcPr>
            <w:tcW w:w="5953" w:type="dxa"/>
            <w:tcBorders>
              <w:top w:val="single" w:sz="4" w:space="0" w:color="auto"/>
              <w:left w:val="single" w:sz="4" w:space="0" w:color="auto"/>
              <w:bottom w:val="single" w:sz="4" w:space="0" w:color="auto"/>
              <w:right w:val="single" w:sz="4" w:space="0" w:color="auto"/>
            </w:tcBorders>
          </w:tcPr>
          <w:p w14:paraId="372433C7" w14:textId="77777777" w:rsidR="00AF612B" w:rsidRPr="00007314" w:rsidRDefault="00AF612B" w:rsidP="0062320F">
            <w:pPr>
              <w:suppressAutoHyphens/>
              <w:jc w:val="both"/>
            </w:pPr>
            <w:r w:rsidRPr="00007314">
              <w:t>zwiększenie limitu z 10% sumy gwarancyjnej do 20% sumy gwarancyjnej na koszty porady prawnej (w tym przed wniesieniem roszczenia) oraz jej interpretacji</w:t>
            </w:r>
          </w:p>
        </w:tc>
        <w:tc>
          <w:tcPr>
            <w:tcW w:w="1134" w:type="dxa"/>
            <w:vAlign w:val="center"/>
          </w:tcPr>
          <w:p w14:paraId="02E335FC" w14:textId="77777777" w:rsidR="00AF612B" w:rsidRPr="00007314" w:rsidRDefault="00AF612B" w:rsidP="0062320F">
            <w:r w:rsidRPr="00007314">
              <w:t>2 pkt.</w:t>
            </w:r>
          </w:p>
        </w:tc>
      </w:tr>
      <w:tr w:rsidR="00AF612B" w:rsidRPr="00007314" w14:paraId="43FA2E5C" w14:textId="77777777" w:rsidTr="0062320F">
        <w:tc>
          <w:tcPr>
            <w:tcW w:w="2553" w:type="dxa"/>
            <w:tcBorders>
              <w:top w:val="single" w:sz="4" w:space="0" w:color="auto"/>
              <w:left w:val="single" w:sz="4" w:space="0" w:color="auto"/>
              <w:bottom w:val="single" w:sz="4" w:space="0" w:color="auto"/>
              <w:right w:val="single" w:sz="4" w:space="0" w:color="auto"/>
            </w:tcBorders>
            <w:vAlign w:val="center"/>
          </w:tcPr>
          <w:p w14:paraId="05C9846C" w14:textId="77777777" w:rsidR="00AF612B" w:rsidRPr="00007314" w:rsidRDefault="00AF612B" w:rsidP="0062320F">
            <w:pPr>
              <w:spacing w:after="120" w:line="252" w:lineRule="auto"/>
              <w:jc w:val="center"/>
              <w:rPr>
                <w:b/>
                <w:lang w:val="de-AT"/>
              </w:rPr>
            </w:pPr>
            <w:r w:rsidRPr="00007314">
              <w:rPr>
                <w:b/>
                <w:lang w:val="de-AT"/>
              </w:rPr>
              <w:t>W4</w:t>
            </w:r>
          </w:p>
        </w:tc>
        <w:tc>
          <w:tcPr>
            <w:tcW w:w="5953" w:type="dxa"/>
            <w:tcBorders>
              <w:top w:val="single" w:sz="4" w:space="0" w:color="auto"/>
              <w:left w:val="single" w:sz="4" w:space="0" w:color="auto"/>
              <w:bottom w:val="single" w:sz="4" w:space="0" w:color="auto"/>
              <w:right w:val="single" w:sz="4" w:space="0" w:color="auto"/>
            </w:tcBorders>
          </w:tcPr>
          <w:p w14:paraId="1EE9C9FA" w14:textId="77777777" w:rsidR="00AF612B" w:rsidRPr="00007314" w:rsidRDefault="00AF612B" w:rsidP="0062320F">
            <w:pPr>
              <w:suppressAutoHyphens/>
              <w:jc w:val="both"/>
            </w:pPr>
            <w:r w:rsidRPr="00007314">
              <w:t>zwiększenie limitu z 10% sumy gwarancyjnej do 20% sumy gwarancyjnej na koszty zarządzania zdarzeniem regulacyjnym</w:t>
            </w:r>
          </w:p>
        </w:tc>
        <w:tc>
          <w:tcPr>
            <w:tcW w:w="1134" w:type="dxa"/>
            <w:vAlign w:val="center"/>
          </w:tcPr>
          <w:p w14:paraId="09F62BC7" w14:textId="77777777" w:rsidR="00AF612B" w:rsidRPr="00007314" w:rsidRDefault="00AF612B" w:rsidP="0062320F">
            <w:r w:rsidRPr="00007314">
              <w:t>2 pkt.</w:t>
            </w:r>
          </w:p>
        </w:tc>
      </w:tr>
      <w:tr w:rsidR="00AF612B" w:rsidRPr="00007314" w14:paraId="07E625A3" w14:textId="77777777" w:rsidTr="0062320F">
        <w:tc>
          <w:tcPr>
            <w:tcW w:w="2553" w:type="dxa"/>
            <w:tcBorders>
              <w:top w:val="single" w:sz="4" w:space="0" w:color="auto"/>
              <w:left w:val="single" w:sz="4" w:space="0" w:color="auto"/>
              <w:bottom w:val="single" w:sz="4" w:space="0" w:color="auto"/>
              <w:right w:val="single" w:sz="4" w:space="0" w:color="auto"/>
            </w:tcBorders>
            <w:vAlign w:val="center"/>
          </w:tcPr>
          <w:p w14:paraId="6FD15AAF" w14:textId="77777777" w:rsidR="00AF612B" w:rsidRPr="00007314" w:rsidRDefault="00AF612B" w:rsidP="0062320F">
            <w:pPr>
              <w:spacing w:after="120" w:line="252" w:lineRule="auto"/>
              <w:jc w:val="center"/>
              <w:rPr>
                <w:b/>
                <w:lang w:val="de-AT"/>
              </w:rPr>
            </w:pPr>
            <w:r w:rsidRPr="00007314">
              <w:rPr>
                <w:b/>
                <w:lang w:val="de-AT"/>
              </w:rPr>
              <w:t>W5</w:t>
            </w:r>
          </w:p>
        </w:tc>
        <w:tc>
          <w:tcPr>
            <w:tcW w:w="5953" w:type="dxa"/>
            <w:tcBorders>
              <w:top w:val="single" w:sz="4" w:space="0" w:color="auto"/>
              <w:left w:val="single" w:sz="4" w:space="0" w:color="auto"/>
              <w:bottom w:val="single" w:sz="4" w:space="0" w:color="auto"/>
              <w:right w:val="single" w:sz="4" w:space="0" w:color="auto"/>
            </w:tcBorders>
          </w:tcPr>
          <w:p w14:paraId="4D90CE8E" w14:textId="77777777" w:rsidR="00AF612B" w:rsidRPr="00007314" w:rsidRDefault="00AF612B" w:rsidP="0062320F">
            <w:pPr>
              <w:suppressAutoHyphens/>
              <w:jc w:val="both"/>
            </w:pPr>
            <w:r w:rsidRPr="00007314">
              <w:t>zwiększenie limitu z 10% sumy gwarancyjnej do 20% sumy gwarancyjnej na koszty postępowań przygotowawczych</w:t>
            </w:r>
          </w:p>
        </w:tc>
        <w:tc>
          <w:tcPr>
            <w:tcW w:w="1134" w:type="dxa"/>
            <w:vAlign w:val="center"/>
          </w:tcPr>
          <w:p w14:paraId="4750F57A" w14:textId="77777777" w:rsidR="00AF612B" w:rsidRPr="00007314" w:rsidRDefault="00AF612B" w:rsidP="0062320F">
            <w:r w:rsidRPr="00007314">
              <w:t>2 pkt.</w:t>
            </w:r>
          </w:p>
        </w:tc>
      </w:tr>
      <w:tr w:rsidR="00AF612B" w:rsidRPr="00007314" w14:paraId="57B84559" w14:textId="77777777" w:rsidTr="0062320F">
        <w:tc>
          <w:tcPr>
            <w:tcW w:w="2553" w:type="dxa"/>
            <w:tcBorders>
              <w:top w:val="single" w:sz="4" w:space="0" w:color="auto"/>
              <w:left w:val="single" w:sz="4" w:space="0" w:color="auto"/>
              <w:bottom w:val="single" w:sz="4" w:space="0" w:color="auto"/>
              <w:right w:val="single" w:sz="4" w:space="0" w:color="auto"/>
            </w:tcBorders>
            <w:vAlign w:val="center"/>
          </w:tcPr>
          <w:p w14:paraId="233E894D" w14:textId="77777777" w:rsidR="00AF612B" w:rsidRPr="00007314" w:rsidRDefault="00AF612B" w:rsidP="0062320F">
            <w:pPr>
              <w:spacing w:after="120" w:line="252" w:lineRule="auto"/>
              <w:jc w:val="center"/>
              <w:rPr>
                <w:b/>
                <w:lang w:val="de-AT"/>
              </w:rPr>
            </w:pPr>
            <w:r w:rsidRPr="00007314">
              <w:rPr>
                <w:b/>
                <w:lang w:val="de-AT"/>
              </w:rPr>
              <w:t>W6</w:t>
            </w:r>
          </w:p>
        </w:tc>
        <w:tc>
          <w:tcPr>
            <w:tcW w:w="5953" w:type="dxa"/>
            <w:tcBorders>
              <w:top w:val="single" w:sz="4" w:space="0" w:color="auto"/>
              <w:left w:val="single" w:sz="4" w:space="0" w:color="auto"/>
              <w:bottom w:val="single" w:sz="4" w:space="0" w:color="auto"/>
              <w:right w:val="single" w:sz="4" w:space="0" w:color="auto"/>
            </w:tcBorders>
          </w:tcPr>
          <w:p w14:paraId="31261375" w14:textId="77777777" w:rsidR="00AF612B" w:rsidRPr="00007314" w:rsidRDefault="00AF612B" w:rsidP="0062320F">
            <w:pPr>
              <w:suppressAutoHyphens/>
              <w:jc w:val="both"/>
            </w:pPr>
            <w:r w:rsidRPr="00007314">
              <w:t>zwiększenie limitu z 10% sumy gwarancyjnej do 20% sumy gwarancyjnej na koszty postępowań odwoławczych i zaskarżenia</w:t>
            </w:r>
          </w:p>
        </w:tc>
        <w:tc>
          <w:tcPr>
            <w:tcW w:w="1134" w:type="dxa"/>
            <w:vAlign w:val="center"/>
          </w:tcPr>
          <w:p w14:paraId="1CC54A18" w14:textId="77777777" w:rsidR="00AF612B" w:rsidRPr="00007314" w:rsidRDefault="00AF612B" w:rsidP="0062320F">
            <w:r w:rsidRPr="00007314">
              <w:t>2 pkt.</w:t>
            </w:r>
          </w:p>
        </w:tc>
      </w:tr>
      <w:tr w:rsidR="00AF612B" w:rsidRPr="00007314" w14:paraId="67AC1889" w14:textId="77777777" w:rsidTr="0062320F">
        <w:tc>
          <w:tcPr>
            <w:tcW w:w="2553" w:type="dxa"/>
            <w:tcBorders>
              <w:top w:val="single" w:sz="4" w:space="0" w:color="auto"/>
              <w:left w:val="single" w:sz="4" w:space="0" w:color="auto"/>
              <w:bottom w:val="single" w:sz="4" w:space="0" w:color="auto"/>
              <w:right w:val="single" w:sz="4" w:space="0" w:color="auto"/>
            </w:tcBorders>
            <w:vAlign w:val="center"/>
          </w:tcPr>
          <w:p w14:paraId="53493DE0" w14:textId="77777777" w:rsidR="00AF612B" w:rsidRPr="00007314" w:rsidRDefault="00AF612B" w:rsidP="0062320F">
            <w:pPr>
              <w:spacing w:after="120" w:line="252" w:lineRule="auto"/>
              <w:jc w:val="center"/>
              <w:rPr>
                <w:b/>
                <w:lang w:val="de-AT"/>
              </w:rPr>
            </w:pPr>
            <w:r w:rsidRPr="00007314">
              <w:rPr>
                <w:b/>
                <w:lang w:val="de-AT"/>
              </w:rPr>
              <w:t>W7</w:t>
            </w:r>
          </w:p>
        </w:tc>
        <w:tc>
          <w:tcPr>
            <w:tcW w:w="5953" w:type="dxa"/>
            <w:tcBorders>
              <w:top w:val="single" w:sz="4" w:space="0" w:color="auto"/>
              <w:left w:val="single" w:sz="4" w:space="0" w:color="auto"/>
              <w:bottom w:val="single" w:sz="4" w:space="0" w:color="auto"/>
              <w:right w:val="single" w:sz="4" w:space="0" w:color="auto"/>
            </w:tcBorders>
          </w:tcPr>
          <w:p w14:paraId="3BD78C59" w14:textId="77777777" w:rsidR="00AF612B" w:rsidRPr="00007314" w:rsidRDefault="00AF612B" w:rsidP="0062320F">
            <w:pPr>
              <w:suppressAutoHyphens/>
              <w:jc w:val="both"/>
            </w:pPr>
            <w:r w:rsidRPr="00007314">
              <w:t>zwiększenie limitu z 10% sumy gwarancyjnej do 20% sumy gwarancyjnej na koszty postępowań wyjaśniających (śledztwa, dochodzenia)</w:t>
            </w:r>
          </w:p>
        </w:tc>
        <w:tc>
          <w:tcPr>
            <w:tcW w:w="1134" w:type="dxa"/>
            <w:vAlign w:val="center"/>
          </w:tcPr>
          <w:p w14:paraId="5730013B" w14:textId="77777777" w:rsidR="00AF612B" w:rsidRPr="00007314" w:rsidRDefault="00AF612B" w:rsidP="0062320F">
            <w:r w:rsidRPr="00007314">
              <w:t>2 pkt.</w:t>
            </w:r>
          </w:p>
        </w:tc>
      </w:tr>
      <w:tr w:rsidR="00AF612B" w:rsidRPr="00007314" w14:paraId="055D6167" w14:textId="77777777" w:rsidTr="0062320F">
        <w:tc>
          <w:tcPr>
            <w:tcW w:w="2553" w:type="dxa"/>
            <w:tcBorders>
              <w:top w:val="single" w:sz="4" w:space="0" w:color="auto"/>
              <w:left w:val="single" w:sz="4" w:space="0" w:color="auto"/>
              <w:bottom w:val="single" w:sz="4" w:space="0" w:color="auto"/>
              <w:right w:val="single" w:sz="4" w:space="0" w:color="auto"/>
            </w:tcBorders>
            <w:vAlign w:val="center"/>
          </w:tcPr>
          <w:p w14:paraId="50363362" w14:textId="77777777" w:rsidR="00AF612B" w:rsidRPr="00007314" w:rsidRDefault="00AF612B" w:rsidP="0062320F">
            <w:pPr>
              <w:spacing w:after="120" w:line="252" w:lineRule="auto"/>
              <w:jc w:val="center"/>
              <w:rPr>
                <w:b/>
                <w:lang w:val="de-AT"/>
              </w:rPr>
            </w:pPr>
            <w:r w:rsidRPr="00007314">
              <w:rPr>
                <w:b/>
                <w:lang w:val="de-AT"/>
              </w:rPr>
              <w:t>W8</w:t>
            </w:r>
          </w:p>
        </w:tc>
        <w:tc>
          <w:tcPr>
            <w:tcW w:w="5953" w:type="dxa"/>
            <w:tcBorders>
              <w:top w:val="single" w:sz="4" w:space="0" w:color="auto"/>
              <w:left w:val="single" w:sz="4" w:space="0" w:color="auto"/>
              <w:bottom w:val="single" w:sz="4" w:space="0" w:color="auto"/>
              <w:right w:val="single" w:sz="4" w:space="0" w:color="auto"/>
            </w:tcBorders>
          </w:tcPr>
          <w:p w14:paraId="4A5E1ADB" w14:textId="77777777" w:rsidR="00AF612B" w:rsidRPr="00007314" w:rsidRDefault="00AF612B" w:rsidP="0062320F">
            <w:pPr>
              <w:suppressAutoHyphens/>
              <w:jc w:val="both"/>
            </w:pPr>
            <w:r w:rsidRPr="00007314">
              <w:t>zwiększenie limitu z 10% sumy gwarancyjnej do 20% sumy gwarancyjnej na koszty związane z wydatkami na kaucje i poręczenia/gwarancje oraz koszty postępowań dotyczących wolności lub mienia (konfiskata mienia)</w:t>
            </w:r>
          </w:p>
        </w:tc>
        <w:tc>
          <w:tcPr>
            <w:tcW w:w="1134" w:type="dxa"/>
            <w:vAlign w:val="center"/>
          </w:tcPr>
          <w:p w14:paraId="17391EC0" w14:textId="77777777" w:rsidR="00AF612B" w:rsidRPr="00007314" w:rsidRDefault="00AF612B" w:rsidP="0062320F">
            <w:r w:rsidRPr="00007314">
              <w:t>2 pkt.</w:t>
            </w:r>
          </w:p>
        </w:tc>
      </w:tr>
      <w:tr w:rsidR="00AF612B" w:rsidRPr="00007314" w14:paraId="4757C8C0" w14:textId="77777777" w:rsidTr="0062320F">
        <w:tc>
          <w:tcPr>
            <w:tcW w:w="2553" w:type="dxa"/>
            <w:tcBorders>
              <w:top w:val="single" w:sz="4" w:space="0" w:color="auto"/>
              <w:left w:val="single" w:sz="4" w:space="0" w:color="auto"/>
              <w:bottom w:val="single" w:sz="4" w:space="0" w:color="auto"/>
              <w:right w:val="single" w:sz="4" w:space="0" w:color="auto"/>
            </w:tcBorders>
            <w:vAlign w:val="center"/>
            <w:hideMark/>
          </w:tcPr>
          <w:p w14:paraId="6A6E61FD" w14:textId="77777777" w:rsidR="00AF612B" w:rsidRPr="00007314" w:rsidRDefault="00AF612B" w:rsidP="0062320F">
            <w:pPr>
              <w:spacing w:after="120" w:line="252" w:lineRule="auto"/>
              <w:jc w:val="center"/>
              <w:rPr>
                <w:b/>
                <w:lang w:val="de-AT"/>
              </w:rPr>
            </w:pPr>
            <w:r w:rsidRPr="00007314">
              <w:rPr>
                <w:b/>
                <w:lang w:val="de-AT"/>
              </w:rPr>
              <w:t>W9</w:t>
            </w:r>
          </w:p>
        </w:tc>
        <w:tc>
          <w:tcPr>
            <w:tcW w:w="5953" w:type="dxa"/>
            <w:tcBorders>
              <w:top w:val="single" w:sz="4" w:space="0" w:color="auto"/>
              <w:left w:val="single" w:sz="4" w:space="0" w:color="auto"/>
              <w:bottom w:val="single" w:sz="4" w:space="0" w:color="auto"/>
              <w:right w:val="single" w:sz="4" w:space="0" w:color="auto"/>
            </w:tcBorders>
          </w:tcPr>
          <w:p w14:paraId="27B2223E" w14:textId="77777777" w:rsidR="00AF612B" w:rsidRPr="00007314" w:rsidRDefault="00AF612B" w:rsidP="0062320F">
            <w:pPr>
              <w:suppressAutoHyphens/>
              <w:jc w:val="both"/>
            </w:pPr>
            <w:r w:rsidRPr="00007314">
              <w:t>zwiększenie limitu dodatkowego z 2.000.000 PLN do 4.000.000 PLN dla kosztów obrony</w:t>
            </w:r>
          </w:p>
        </w:tc>
        <w:tc>
          <w:tcPr>
            <w:tcW w:w="1134" w:type="dxa"/>
            <w:vAlign w:val="center"/>
          </w:tcPr>
          <w:p w14:paraId="77D87D9C" w14:textId="77777777" w:rsidR="00AF612B" w:rsidRPr="00007314" w:rsidRDefault="00AF612B" w:rsidP="0062320F">
            <w:r w:rsidRPr="00007314">
              <w:t>3 pkt.</w:t>
            </w:r>
          </w:p>
        </w:tc>
      </w:tr>
    </w:tbl>
    <w:p w14:paraId="0DBD49FD" w14:textId="77777777" w:rsidR="00AF612B" w:rsidRPr="00007314" w:rsidRDefault="00AF612B" w:rsidP="00AF612B">
      <w:pPr>
        <w:spacing w:after="120" w:line="252" w:lineRule="auto"/>
        <w:ind w:left="247"/>
        <w:jc w:val="both"/>
        <w:rPr>
          <w:i/>
        </w:rPr>
      </w:pPr>
    </w:p>
    <w:p w14:paraId="31CC3964" w14:textId="77777777" w:rsidR="00AF612B" w:rsidRPr="00007314" w:rsidRDefault="00AF612B" w:rsidP="00AF612B">
      <w:pPr>
        <w:spacing w:after="120"/>
        <w:jc w:val="both"/>
      </w:pPr>
      <w:r w:rsidRPr="00007314">
        <w:lastRenderedPageBreak/>
        <w:t>W przypadku niezaakceptowania przez Wykonawcę proponowanych zmian otrzyma on 0 (zero) punktów. W przypadku akceptacji wszystkich wnioskowanych (fakultatywnych) zmian warunków ubezpieczenia Wykonawcy zostanie przyznane 20 punktów.</w:t>
      </w:r>
    </w:p>
    <w:p w14:paraId="02C279F0" w14:textId="77777777" w:rsidR="00AF612B" w:rsidRPr="00007314" w:rsidRDefault="00AF612B" w:rsidP="00AF612B">
      <w:pPr>
        <w:spacing w:after="120" w:line="252" w:lineRule="auto"/>
        <w:jc w:val="both"/>
      </w:pPr>
      <w:r w:rsidRPr="00007314">
        <w:t xml:space="preserve">Punktacja za Kryterium Warunki Ubezpieczenia zostanie obliczona według następującego wzoru: </w:t>
      </w:r>
    </w:p>
    <w:p w14:paraId="79CCA009" w14:textId="77777777" w:rsidR="00AF612B" w:rsidRPr="00007314" w:rsidRDefault="00AF612B" w:rsidP="00AF612B">
      <w:pPr>
        <w:spacing w:after="120" w:line="252" w:lineRule="auto"/>
        <w:jc w:val="both"/>
        <w:rPr>
          <w:b/>
        </w:rPr>
      </w:pPr>
      <w:r w:rsidRPr="00007314">
        <w:t>W = W1 + W2 + W3 + W4 + W5 + W6 + W7 + W8 + W9</w:t>
      </w:r>
    </w:p>
    <w:p w14:paraId="3A246DC9" w14:textId="77777777" w:rsidR="00AF612B" w:rsidRPr="00007314" w:rsidRDefault="00AF612B" w:rsidP="00AF612B">
      <w:pPr>
        <w:spacing w:after="120" w:line="252" w:lineRule="auto"/>
        <w:jc w:val="both"/>
        <w:rPr>
          <w:b/>
        </w:rPr>
      </w:pPr>
    </w:p>
    <w:p w14:paraId="229493CF" w14:textId="77777777" w:rsidR="00AF612B" w:rsidRPr="00007314" w:rsidRDefault="00AF612B" w:rsidP="00AF612B">
      <w:pPr>
        <w:pStyle w:val="Default"/>
        <w:numPr>
          <w:ilvl w:val="0"/>
          <w:numId w:val="34"/>
        </w:numPr>
        <w:spacing w:after="14"/>
        <w:ind w:left="567" w:hanging="425"/>
        <w:rPr>
          <w:rFonts w:asciiTheme="minorHAnsi" w:hAnsiTheme="minorHAnsi" w:cs="Times New Roman"/>
          <w:color w:val="auto"/>
          <w:sz w:val="22"/>
          <w:szCs w:val="22"/>
        </w:rPr>
      </w:pPr>
      <w:r w:rsidRPr="00007314">
        <w:rPr>
          <w:rFonts w:asciiTheme="minorHAnsi" w:hAnsiTheme="minorHAnsi" w:cs="Times New Roman"/>
          <w:color w:val="auto"/>
          <w:sz w:val="22"/>
          <w:szCs w:val="22"/>
        </w:rPr>
        <w:t xml:space="preserve">Punktacje będą zaokrąglane z dokładnością do dwóch miejsc po przecinku </w:t>
      </w:r>
    </w:p>
    <w:p w14:paraId="38F7333B" w14:textId="77777777" w:rsidR="00AF612B" w:rsidRPr="00007314" w:rsidRDefault="00AF612B" w:rsidP="00AF612B">
      <w:pPr>
        <w:pStyle w:val="Akapitzlist"/>
        <w:numPr>
          <w:ilvl w:val="0"/>
          <w:numId w:val="34"/>
        </w:numPr>
        <w:spacing w:before="120" w:after="0" w:line="240" w:lineRule="auto"/>
        <w:ind w:left="567" w:hanging="425"/>
        <w:jc w:val="both"/>
        <w:rPr>
          <w:b/>
          <w:kern w:val="24"/>
        </w:rPr>
      </w:pPr>
      <w:r w:rsidRPr="00007314">
        <w:rPr>
          <w:b/>
        </w:rPr>
        <w:t xml:space="preserve">Ogólna punktacja (P) w zadaniu nr VI zostanie obliczona wg wzoru: </w:t>
      </w:r>
      <w:r w:rsidRPr="00007314">
        <w:rPr>
          <w:b/>
          <w:kern w:val="24"/>
        </w:rPr>
        <w:t>P = C (kryterium Cena)  + W (kryterium Warunki ubezpieczenia)</w:t>
      </w:r>
    </w:p>
    <w:p w14:paraId="7E753FC3" w14:textId="77777777" w:rsidR="00AF612B" w:rsidRPr="00007314" w:rsidRDefault="00AF612B" w:rsidP="00AF612B">
      <w:pPr>
        <w:pStyle w:val="Akapitzlist"/>
        <w:numPr>
          <w:ilvl w:val="0"/>
          <w:numId w:val="34"/>
        </w:numPr>
        <w:spacing w:before="120" w:after="0" w:line="240" w:lineRule="auto"/>
        <w:ind w:left="567" w:hanging="425"/>
        <w:jc w:val="both"/>
        <w:rPr>
          <w:b/>
          <w:kern w:val="24"/>
        </w:rPr>
      </w:pPr>
      <w:r w:rsidRPr="00007314">
        <w:t xml:space="preserve">Za najkorzystniejszą zostanie uznana oferta, która uzyska </w:t>
      </w:r>
      <w:r w:rsidRPr="00007314">
        <w:rPr>
          <w:u w:val="single"/>
        </w:rPr>
        <w:t>najwyższą łączną liczbę punktów</w:t>
      </w:r>
      <w:r w:rsidRPr="00007314">
        <w:t xml:space="preserve"> w ww. kryteriach.</w:t>
      </w:r>
      <w:r w:rsidRPr="00007314">
        <w:rPr>
          <w:kern w:val="24"/>
        </w:rPr>
        <w:t xml:space="preserve"> </w:t>
      </w:r>
    </w:p>
    <w:p w14:paraId="731C1A2B" w14:textId="77777777" w:rsidR="00AF612B" w:rsidRPr="00007314" w:rsidRDefault="00AF612B" w:rsidP="00AF612B">
      <w:pPr>
        <w:pStyle w:val="Akapitzlist"/>
        <w:numPr>
          <w:ilvl w:val="0"/>
          <w:numId w:val="34"/>
        </w:numPr>
        <w:spacing w:before="120" w:after="0" w:line="240" w:lineRule="auto"/>
        <w:ind w:left="567" w:hanging="425"/>
        <w:jc w:val="both"/>
        <w:rPr>
          <w:b/>
          <w:kern w:val="24"/>
        </w:rPr>
      </w:pPr>
      <w:r w:rsidRPr="00007314">
        <w:t xml:space="preserve">Badania i oceny ofert dokona komisja przetargowa powołana przez Zamawiającego, w oparciu o wymagania postawione w SIWZ. </w:t>
      </w:r>
    </w:p>
    <w:p w14:paraId="1824C70E" w14:textId="77777777" w:rsidR="00AF612B" w:rsidRPr="00007314" w:rsidRDefault="00AF612B" w:rsidP="00AF612B">
      <w:pPr>
        <w:spacing w:after="120" w:line="252" w:lineRule="auto"/>
        <w:jc w:val="both"/>
        <w:rPr>
          <w:b/>
          <w:i/>
        </w:rPr>
      </w:pPr>
    </w:p>
    <w:p w14:paraId="55F5190F" w14:textId="77777777" w:rsidR="00AF612B" w:rsidRPr="00007314" w:rsidRDefault="00AF612B" w:rsidP="00AF612B">
      <w:pPr>
        <w:spacing w:after="120"/>
        <w:jc w:val="both"/>
        <w:rPr>
          <w:i/>
        </w:rPr>
      </w:pPr>
      <w:r w:rsidRPr="00007314">
        <w:rPr>
          <w:i/>
        </w:rPr>
        <w:t>W przypadku akceptacji zmiany warunków ubezpieczenia odpowiednie postanowienia w Opisie Przedmiotu Zamówienia otrzymają brzmienie zgodnie z treścią zaakceptowanej zmiany, tj.:</w:t>
      </w:r>
    </w:p>
    <w:p w14:paraId="36CF3E66" w14:textId="77777777" w:rsidR="00AF612B" w:rsidRPr="00007314" w:rsidRDefault="00AF612B" w:rsidP="00AF612B">
      <w:pPr>
        <w:pStyle w:val="Akapitzlist"/>
        <w:numPr>
          <w:ilvl w:val="0"/>
          <w:numId w:val="43"/>
        </w:numPr>
        <w:spacing w:after="120" w:line="276" w:lineRule="auto"/>
        <w:jc w:val="both"/>
        <w:rPr>
          <w:i/>
        </w:rPr>
      </w:pPr>
      <w:r w:rsidRPr="00007314">
        <w:rPr>
          <w:i/>
        </w:rPr>
        <w:t>Kryterium oznaczonego jako W1 - zastosowanie będzie mieć klauzula zwiększenia limitu na kary i grzywny administracyjne oraz cywilnoprawne w zakresie, w jakim ich pokrycie jest dopuszczalne przepisami prawa, limit 2.000.000 PLN</w:t>
      </w:r>
    </w:p>
    <w:p w14:paraId="4799A2C0" w14:textId="77777777" w:rsidR="00AF612B" w:rsidRPr="00007314" w:rsidRDefault="00AF612B" w:rsidP="00AF612B">
      <w:pPr>
        <w:pStyle w:val="Akapitzlist"/>
        <w:numPr>
          <w:ilvl w:val="0"/>
          <w:numId w:val="43"/>
        </w:numPr>
        <w:spacing w:after="120" w:line="276" w:lineRule="auto"/>
        <w:jc w:val="both"/>
        <w:rPr>
          <w:i/>
        </w:rPr>
      </w:pPr>
      <w:r w:rsidRPr="00007314">
        <w:rPr>
          <w:i/>
        </w:rPr>
        <w:t>Kryterium oznaczonego jako W2 – zastosowanie będzie mieć klauzula zwiększenia limitu na koszty public relations – koszty odzyskania dobrego imienia/koszty ochrony dobrego imienia/koszty wizerunku/zapobieżenia), limit 20% sumy gwarancyjnej</w:t>
      </w:r>
    </w:p>
    <w:p w14:paraId="6C057577" w14:textId="77777777" w:rsidR="00AF612B" w:rsidRPr="00007314" w:rsidRDefault="00AF612B" w:rsidP="00AF612B">
      <w:pPr>
        <w:pStyle w:val="Akapitzlist"/>
        <w:numPr>
          <w:ilvl w:val="0"/>
          <w:numId w:val="43"/>
        </w:numPr>
        <w:spacing w:after="120" w:line="276" w:lineRule="auto"/>
        <w:jc w:val="both"/>
        <w:rPr>
          <w:i/>
        </w:rPr>
      </w:pPr>
      <w:r w:rsidRPr="00007314">
        <w:rPr>
          <w:i/>
        </w:rPr>
        <w:t>Kryterium oznaczonego jako W3 - zastosowanie będzie mieć klauzula zwiększenia limitu na koszty porady prawnej (w tym przed wniesieniem roszczenia) oraz jej interpretacji – limit 20 % sumy gwarancyjnej</w:t>
      </w:r>
    </w:p>
    <w:p w14:paraId="28784EA4" w14:textId="77777777" w:rsidR="00AF612B" w:rsidRPr="00007314" w:rsidRDefault="00AF612B" w:rsidP="00AF612B">
      <w:pPr>
        <w:pStyle w:val="Akapitzlist"/>
        <w:numPr>
          <w:ilvl w:val="0"/>
          <w:numId w:val="43"/>
        </w:numPr>
        <w:spacing w:after="120" w:line="276" w:lineRule="auto"/>
        <w:jc w:val="both"/>
        <w:rPr>
          <w:i/>
        </w:rPr>
      </w:pPr>
      <w:r w:rsidRPr="00007314">
        <w:rPr>
          <w:i/>
        </w:rPr>
        <w:t>Kryterium oznaczonego jako W4 - zastosowanie będzie mieć klauzula zwiększenia limitu na koszty zarządzania zdarzeniem regulacyjnym, limit 20 % sumy gwarancyjnej</w:t>
      </w:r>
    </w:p>
    <w:p w14:paraId="2A6DBF86" w14:textId="77777777" w:rsidR="00AF612B" w:rsidRPr="00007314" w:rsidRDefault="00AF612B" w:rsidP="00AF612B">
      <w:pPr>
        <w:pStyle w:val="Akapitzlist"/>
        <w:numPr>
          <w:ilvl w:val="0"/>
          <w:numId w:val="43"/>
        </w:numPr>
        <w:spacing w:after="120" w:line="276" w:lineRule="auto"/>
        <w:jc w:val="both"/>
        <w:rPr>
          <w:i/>
        </w:rPr>
      </w:pPr>
      <w:r w:rsidRPr="00007314">
        <w:rPr>
          <w:i/>
        </w:rPr>
        <w:t>Kryterium oznaczonego jako W5 - zastosowanie będzie mieć klauzula zwiększenia limitu na koszty postępowań przygotowawczych, limit 20 % sumy gwarancyjnej</w:t>
      </w:r>
    </w:p>
    <w:p w14:paraId="4F593844" w14:textId="77777777" w:rsidR="00AF612B" w:rsidRPr="00007314" w:rsidRDefault="00AF612B" w:rsidP="00AF612B">
      <w:pPr>
        <w:pStyle w:val="Akapitzlist"/>
        <w:numPr>
          <w:ilvl w:val="0"/>
          <w:numId w:val="43"/>
        </w:numPr>
        <w:spacing w:after="120" w:line="276" w:lineRule="auto"/>
        <w:jc w:val="both"/>
        <w:rPr>
          <w:i/>
        </w:rPr>
      </w:pPr>
      <w:r w:rsidRPr="00007314">
        <w:rPr>
          <w:i/>
        </w:rPr>
        <w:t>Kryterium oznaczonego jako W6 - zastosowanie będzie mieć klauzula zwiększenia limitu na koszty postępowań odwoławczych i zaskarżenia, limit 20 % sumy gwarancyjnej</w:t>
      </w:r>
    </w:p>
    <w:p w14:paraId="2CD07893" w14:textId="77777777" w:rsidR="00AF612B" w:rsidRPr="00007314" w:rsidRDefault="00AF612B" w:rsidP="00AF612B">
      <w:pPr>
        <w:pStyle w:val="Akapitzlist"/>
        <w:numPr>
          <w:ilvl w:val="0"/>
          <w:numId w:val="43"/>
        </w:numPr>
        <w:spacing w:after="120" w:line="276" w:lineRule="auto"/>
        <w:jc w:val="both"/>
        <w:rPr>
          <w:i/>
        </w:rPr>
      </w:pPr>
      <w:r w:rsidRPr="00007314">
        <w:rPr>
          <w:i/>
        </w:rPr>
        <w:t>Kryterium oznaczonego jako W7 - zastosowanie będzie mieć klauzula zwiększenia limitu na koszty postępowań wyjaśniających (śledztwa, dochodzenia), limit 20 % sumy gwarancyjnej</w:t>
      </w:r>
    </w:p>
    <w:p w14:paraId="54AE5A25" w14:textId="77777777" w:rsidR="00AF612B" w:rsidRPr="00007314" w:rsidRDefault="00AF612B" w:rsidP="00AF612B">
      <w:pPr>
        <w:pStyle w:val="Akapitzlist"/>
        <w:numPr>
          <w:ilvl w:val="0"/>
          <w:numId w:val="43"/>
        </w:numPr>
        <w:spacing w:after="120" w:line="276" w:lineRule="auto"/>
        <w:jc w:val="both"/>
        <w:rPr>
          <w:i/>
        </w:rPr>
      </w:pPr>
      <w:r w:rsidRPr="00007314">
        <w:rPr>
          <w:i/>
        </w:rPr>
        <w:t>Kryterium oznaczonego jako W8 - zastosowanie będzie mieć klauzula zwiększenia limitu na koszty związane z wydatkami na kaucje i poręczenia/gwarancje oraz koszty postępowań dotyczących wolności lub mienia (konfiskata mienia), limit 20 % sumy gwarancyjnej</w:t>
      </w:r>
    </w:p>
    <w:p w14:paraId="3FC526DE" w14:textId="77777777" w:rsidR="00AF612B" w:rsidRPr="00007314" w:rsidRDefault="00AF612B" w:rsidP="00AF612B">
      <w:pPr>
        <w:pStyle w:val="Akapitzlist"/>
        <w:numPr>
          <w:ilvl w:val="0"/>
          <w:numId w:val="43"/>
        </w:numPr>
        <w:spacing w:after="120" w:line="276" w:lineRule="auto"/>
        <w:jc w:val="both"/>
        <w:rPr>
          <w:i/>
        </w:rPr>
      </w:pPr>
      <w:r w:rsidRPr="00007314">
        <w:rPr>
          <w:i/>
        </w:rPr>
        <w:t>Kryterium oznaczonego jako W9 - zastosowanie będzie mieć klauzula zwiększenia limitu dodatkowego dla kosztów obrony, limit 4.000.000 PLN</w:t>
      </w:r>
    </w:p>
    <w:p w14:paraId="0970DBEF" w14:textId="77777777" w:rsidR="00972382" w:rsidRPr="00007314" w:rsidRDefault="00972382" w:rsidP="008E10E9">
      <w:pPr>
        <w:tabs>
          <w:tab w:val="left" w:pos="1701"/>
        </w:tabs>
        <w:spacing w:after="0" w:line="276" w:lineRule="auto"/>
        <w:jc w:val="both"/>
        <w:rPr>
          <w:rFonts w:cs="Open Sans"/>
        </w:rPr>
      </w:pPr>
    </w:p>
    <w:p w14:paraId="49B205AA" w14:textId="77777777" w:rsidR="002B1EED" w:rsidRPr="00007314" w:rsidRDefault="00C63EFE" w:rsidP="00CF2FDA">
      <w:pPr>
        <w:pStyle w:val="Akapitzlist"/>
        <w:numPr>
          <w:ilvl w:val="0"/>
          <w:numId w:val="2"/>
        </w:numPr>
        <w:spacing w:after="0" w:line="276" w:lineRule="auto"/>
        <w:jc w:val="both"/>
        <w:rPr>
          <w:rFonts w:cs="Open Sans"/>
          <w:b/>
        </w:rPr>
      </w:pPr>
      <w:r w:rsidRPr="00007314">
        <w:rPr>
          <w:rFonts w:cs="Open Sans"/>
          <w:b/>
        </w:rPr>
        <w:lastRenderedPageBreak/>
        <w:t>INFORMACJE O FORMALNOŚCIACH, JAKIE POWINNY ZOSTAĆ DOPEŁNIONE PO WYBORZE OFERTY W CELU ZAWARCIA UMOWY W SPRAWIE ZAMÓWIENIA PUBLICZNEGO</w:t>
      </w:r>
    </w:p>
    <w:p w14:paraId="2C49453B" w14:textId="77777777" w:rsidR="00B85E7C" w:rsidRPr="00007314" w:rsidRDefault="00B85E7C" w:rsidP="007D22BC">
      <w:pPr>
        <w:ind w:left="708"/>
        <w:jc w:val="both"/>
      </w:pPr>
      <w:r w:rsidRPr="00007314">
        <w:t xml:space="preserve">Jeżeli w postępowaniu zostanie wybrana oferta </w:t>
      </w:r>
      <w:r w:rsidR="00132A2F" w:rsidRPr="00007314">
        <w:t>W</w:t>
      </w:r>
      <w:r w:rsidRPr="00007314">
        <w:t xml:space="preserve">ykonawców, o których mowa w art. 23 ust. 1 ustawy </w:t>
      </w:r>
      <w:r w:rsidR="00096FB0" w:rsidRPr="00007314">
        <w:t xml:space="preserve">Pzp </w:t>
      </w:r>
      <w:r w:rsidRPr="00007314">
        <w:t xml:space="preserve">(wykonawcy wspólnie ubiegający się o udzielenie zamówienia), </w:t>
      </w:r>
      <w:r w:rsidR="00132A2F" w:rsidRPr="00007314">
        <w:t>Z</w:t>
      </w:r>
      <w:r w:rsidRPr="00007314">
        <w:t xml:space="preserve">amawiający może żądać dostarczenia przed zawarciem </w:t>
      </w:r>
      <w:r w:rsidR="004407A2" w:rsidRPr="00007314">
        <w:t>U</w:t>
      </w:r>
      <w:r w:rsidRPr="00007314">
        <w:t xml:space="preserve">mowy o udzielenie przedmiotowego zamówienia publicznego, a </w:t>
      </w:r>
      <w:r w:rsidR="004407A2" w:rsidRPr="00007314">
        <w:t>W</w:t>
      </w:r>
      <w:r w:rsidRPr="00007314">
        <w:t xml:space="preserve">ykonawca jest zobowiązany do dostarczenia, umowy regulującej współpracę tych </w:t>
      </w:r>
      <w:r w:rsidR="004407A2" w:rsidRPr="00007314">
        <w:t>W</w:t>
      </w:r>
      <w:r w:rsidRPr="00007314">
        <w:t>ykonawców.</w:t>
      </w:r>
    </w:p>
    <w:p w14:paraId="0240EE68" w14:textId="77777777" w:rsidR="00B85E7C" w:rsidRPr="001E512C" w:rsidRDefault="00B85E7C" w:rsidP="001E512C">
      <w:pPr>
        <w:spacing w:after="0" w:line="276" w:lineRule="auto"/>
        <w:jc w:val="both"/>
        <w:rPr>
          <w:rFonts w:cs="Open Sans"/>
          <w:b/>
        </w:rPr>
      </w:pPr>
    </w:p>
    <w:p w14:paraId="1006CE52" w14:textId="77777777" w:rsidR="00B85E7C" w:rsidRPr="00007314" w:rsidRDefault="00B85E7C" w:rsidP="00CF2FDA">
      <w:pPr>
        <w:pStyle w:val="Akapitzlist"/>
        <w:numPr>
          <w:ilvl w:val="0"/>
          <w:numId w:val="2"/>
        </w:numPr>
        <w:spacing w:after="0" w:line="276" w:lineRule="auto"/>
        <w:jc w:val="both"/>
        <w:rPr>
          <w:rFonts w:cs="Open Sans"/>
          <w:b/>
        </w:rPr>
      </w:pPr>
      <w:r w:rsidRPr="00007314">
        <w:rPr>
          <w:rFonts w:cs="Open Sans"/>
          <w:b/>
        </w:rPr>
        <w:t>WYMAGANIA DOTYCZĄCE ZABEZPIECZENIA NALEŻYTEGO WYKONANIA UMOWY</w:t>
      </w:r>
    </w:p>
    <w:p w14:paraId="10BE15E7" w14:textId="5672FBB7" w:rsidR="00185A40" w:rsidRPr="00007314" w:rsidRDefault="00906453" w:rsidP="00740B4D">
      <w:pPr>
        <w:pStyle w:val="Akapitzlist"/>
        <w:spacing w:after="0" w:line="276" w:lineRule="auto"/>
        <w:ind w:left="709"/>
        <w:jc w:val="both"/>
        <w:rPr>
          <w:rFonts w:cs="Open Sans"/>
        </w:rPr>
      </w:pPr>
      <w:r w:rsidRPr="00007314">
        <w:rPr>
          <w:rFonts w:cs="Open Sans"/>
        </w:rPr>
        <w:t>Zamawiający nie wymaga złożenia</w:t>
      </w:r>
      <w:r w:rsidR="00547B3C" w:rsidRPr="00007314">
        <w:rPr>
          <w:rFonts w:cs="Open Sans"/>
        </w:rPr>
        <w:t xml:space="preserve"> zabezpieczenia</w:t>
      </w:r>
      <w:r w:rsidRPr="00007314">
        <w:rPr>
          <w:rFonts w:cs="Open Sans"/>
        </w:rPr>
        <w:t xml:space="preserve"> należytego wykonania umowy.</w:t>
      </w:r>
    </w:p>
    <w:p w14:paraId="142F91CC" w14:textId="77777777" w:rsidR="00547B3C" w:rsidRPr="00007314" w:rsidRDefault="00547B3C" w:rsidP="00547B3C">
      <w:pPr>
        <w:spacing w:after="0" w:line="276" w:lineRule="auto"/>
        <w:jc w:val="both"/>
        <w:rPr>
          <w:rFonts w:cs="Open Sans"/>
        </w:rPr>
      </w:pPr>
    </w:p>
    <w:p w14:paraId="29D7DE6C" w14:textId="15F1333E" w:rsidR="000672C5" w:rsidRPr="00740B4D" w:rsidRDefault="00290289" w:rsidP="00740B4D">
      <w:pPr>
        <w:pStyle w:val="Akapitzlist"/>
        <w:numPr>
          <w:ilvl w:val="0"/>
          <w:numId w:val="2"/>
        </w:numPr>
        <w:spacing w:after="0" w:line="276" w:lineRule="auto"/>
        <w:jc w:val="both"/>
        <w:rPr>
          <w:rFonts w:cs="Open Sans"/>
          <w:b/>
        </w:rPr>
      </w:pPr>
      <w:r w:rsidRPr="00007314">
        <w:rPr>
          <w:rFonts w:cs="Open Sans"/>
          <w:b/>
        </w:rPr>
        <w:t>WZÓR UMOWY</w:t>
      </w:r>
    </w:p>
    <w:p w14:paraId="597C9A2B" w14:textId="48F6BCC1" w:rsidR="00AF612B" w:rsidRPr="00007314" w:rsidRDefault="000672C5" w:rsidP="00AF612B">
      <w:pPr>
        <w:ind w:left="708"/>
        <w:rPr>
          <w:rFonts w:cs="Open Sans"/>
        </w:rPr>
      </w:pPr>
      <w:r w:rsidRPr="00007314">
        <w:rPr>
          <w:rFonts w:cs="Open Sans"/>
        </w:rPr>
        <w:t>Zamawiający wymaga od wybranego Wykonawcy zawarcia Umowy według w</w:t>
      </w:r>
      <w:r w:rsidR="00487695" w:rsidRPr="00007314">
        <w:rPr>
          <w:rFonts w:cs="Open Sans"/>
        </w:rPr>
        <w:t xml:space="preserve">zoru stanowiącego Załącznik nr </w:t>
      </w:r>
      <w:r w:rsidR="00807D2F">
        <w:rPr>
          <w:rFonts w:cs="Open Sans"/>
        </w:rPr>
        <w:t>5</w:t>
      </w:r>
      <w:r w:rsidRPr="00007314">
        <w:rPr>
          <w:rFonts w:cs="Open Sans"/>
        </w:rPr>
        <w:t xml:space="preserve"> do SIWZ.</w:t>
      </w:r>
    </w:p>
    <w:p w14:paraId="1C3341A9" w14:textId="77777777" w:rsidR="00185A40" w:rsidRPr="00007314" w:rsidRDefault="00C63EFE" w:rsidP="00CF2FDA">
      <w:pPr>
        <w:pStyle w:val="Akapitzlist"/>
        <w:numPr>
          <w:ilvl w:val="0"/>
          <w:numId w:val="2"/>
        </w:numPr>
        <w:spacing w:after="0" w:line="276" w:lineRule="auto"/>
        <w:jc w:val="both"/>
        <w:rPr>
          <w:rFonts w:cs="Open Sans"/>
          <w:b/>
        </w:rPr>
      </w:pPr>
      <w:r w:rsidRPr="00007314">
        <w:rPr>
          <w:rFonts w:cs="Open Sans"/>
          <w:b/>
        </w:rPr>
        <w:t>POUCZENIE O ŚRODKACH OCHRONY PRAWNEJ PRZYSŁUGUJĄCYCH WYKONAWCY W TOKU POSTĘPOWANIA O UDZIELENIE ZAMÓWIENIA</w:t>
      </w:r>
    </w:p>
    <w:p w14:paraId="756AA24B" w14:textId="77777777" w:rsidR="00754642" w:rsidRPr="00007314" w:rsidRDefault="00754642" w:rsidP="002D21E8">
      <w:pPr>
        <w:numPr>
          <w:ilvl w:val="0"/>
          <w:numId w:val="16"/>
        </w:numPr>
        <w:spacing w:after="0" w:line="276" w:lineRule="auto"/>
        <w:ind w:left="993" w:hanging="284"/>
        <w:contextualSpacing/>
        <w:jc w:val="both"/>
        <w:rPr>
          <w:rFonts w:cs="Open Sans"/>
        </w:rPr>
      </w:pPr>
      <w:r w:rsidRPr="00007314">
        <w:rPr>
          <w:rFonts w:cs="Open Sans"/>
        </w:rPr>
        <w:t xml:space="preserve">Środki ochrony prawnej określone w Dziale VI ustawy Pzp przysługują </w:t>
      </w:r>
      <w:r w:rsidR="00136954" w:rsidRPr="00007314">
        <w:rPr>
          <w:rFonts w:cs="Open Sans"/>
        </w:rPr>
        <w:t>W</w:t>
      </w:r>
      <w:r w:rsidRPr="00007314">
        <w:rPr>
          <w:rFonts w:cs="Open Sans"/>
        </w:rPr>
        <w:t xml:space="preserve">ykonawcy a także innemu podmiotowi, jeżeli ma lub miał interes w uzyskaniu danego zamówienia oraz poniósł lub może ponieść szkodę w wyniku naruszenia przez </w:t>
      </w:r>
      <w:r w:rsidR="00136954" w:rsidRPr="00007314">
        <w:rPr>
          <w:rFonts w:cs="Open Sans"/>
        </w:rPr>
        <w:t>Z</w:t>
      </w:r>
      <w:r w:rsidRPr="00007314">
        <w:rPr>
          <w:rFonts w:cs="Open Sans"/>
        </w:rPr>
        <w:t>amawiającego przepisów ustawy.</w:t>
      </w:r>
    </w:p>
    <w:p w14:paraId="16E11667" w14:textId="77777777" w:rsidR="00754642" w:rsidRPr="00007314" w:rsidRDefault="00754642" w:rsidP="002D21E8">
      <w:pPr>
        <w:numPr>
          <w:ilvl w:val="0"/>
          <w:numId w:val="16"/>
        </w:numPr>
        <w:spacing w:after="0" w:line="276" w:lineRule="auto"/>
        <w:ind w:left="993" w:hanging="284"/>
        <w:contextualSpacing/>
        <w:jc w:val="both"/>
        <w:rPr>
          <w:rFonts w:cs="Open Sans"/>
        </w:rPr>
      </w:pPr>
      <w:r w:rsidRPr="00007314">
        <w:rPr>
          <w:rFonts w:cs="Open Sans"/>
        </w:rPr>
        <w:t>Środki ochrony prawnej wobec ogłoszenia o zamówieniu oraz specyfikacji istotnych warunków zamówienia przysługują również organizacjom wpisanym na listę, o której mowa w art. 154 pkt 5 ustawy Pzp.</w:t>
      </w:r>
    </w:p>
    <w:p w14:paraId="54252A55" w14:textId="77777777" w:rsidR="00754642" w:rsidRPr="00007314" w:rsidRDefault="00754642" w:rsidP="002D21E8">
      <w:pPr>
        <w:numPr>
          <w:ilvl w:val="0"/>
          <w:numId w:val="16"/>
        </w:numPr>
        <w:spacing w:line="276" w:lineRule="auto"/>
        <w:ind w:left="993" w:hanging="284"/>
        <w:contextualSpacing/>
        <w:jc w:val="both"/>
        <w:rPr>
          <w:rFonts w:cs="Open Sans"/>
        </w:rPr>
      </w:pPr>
      <w:r w:rsidRPr="00007314">
        <w:rPr>
          <w:rFonts w:cs="Open Sans"/>
        </w:rPr>
        <w:t>Środkami ochrony prawnej są:</w:t>
      </w:r>
    </w:p>
    <w:p w14:paraId="30D5F292" w14:textId="77777777" w:rsidR="00754642" w:rsidRPr="00007314" w:rsidRDefault="00754642" w:rsidP="002D21E8">
      <w:pPr>
        <w:numPr>
          <w:ilvl w:val="0"/>
          <w:numId w:val="17"/>
        </w:numPr>
        <w:spacing w:line="276" w:lineRule="auto"/>
        <w:ind w:left="1418" w:hanging="284"/>
        <w:contextualSpacing/>
        <w:jc w:val="both"/>
        <w:rPr>
          <w:rFonts w:cs="Open Sans"/>
        </w:rPr>
      </w:pPr>
      <w:r w:rsidRPr="00007314">
        <w:rPr>
          <w:rFonts w:cs="Open Sans"/>
        </w:rPr>
        <w:t>odwołanie zgodnie z art. 180 ustawy Pzp,</w:t>
      </w:r>
    </w:p>
    <w:p w14:paraId="1AC78FE7" w14:textId="77777777" w:rsidR="00754642" w:rsidRPr="00007314" w:rsidRDefault="00754642" w:rsidP="002D21E8">
      <w:pPr>
        <w:numPr>
          <w:ilvl w:val="0"/>
          <w:numId w:val="17"/>
        </w:numPr>
        <w:tabs>
          <w:tab w:val="left" w:pos="1418"/>
        </w:tabs>
        <w:spacing w:after="0" w:line="276" w:lineRule="auto"/>
        <w:ind w:left="1418" w:hanging="284"/>
        <w:contextualSpacing/>
        <w:jc w:val="both"/>
        <w:rPr>
          <w:rFonts w:cs="Open Sans"/>
        </w:rPr>
      </w:pPr>
      <w:r w:rsidRPr="00007314">
        <w:rPr>
          <w:rFonts w:cs="Open Sans"/>
        </w:rPr>
        <w:t>skarga do sądu, zgodnie z art. 198a ustawy Pzp.</w:t>
      </w:r>
    </w:p>
    <w:p w14:paraId="74E8419E" w14:textId="77777777" w:rsidR="006F49EE" w:rsidRPr="00007314" w:rsidRDefault="006F49EE" w:rsidP="00CF2FDA">
      <w:pPr>
        <w:pStyle w:val="Akapitzlist"/>
        <w:spacing w:after="0" w:line="276" w:lineRule="auto"/>
        <w:ind w:left="1418" w:hanging="284"/>
        <w:jc w:val="both"/>
        <w:rPr>
          <w:rFonts w:cs="Open Sans"/>
        </w:rPr>
      </w:pPr>
    </w:p>
    <w:p w14:paraId="0D2A4D27" w14:textId="77777777" w:rsidR="008F4D07" w:rsidRPr="00007314" w:rsidRDefault="008F4D07" w:rsidP="00CF2FDA">
      <w:pPr>
        <w:numPr>
          <w:ilvl w:val="0"/>
          <w:numId w:val="2"/>
        </w:numPr>
        <w:tabs>
          <w:tab w:val="left" w:pos="567"/>
        </w:tabs>
        <w:spacing w:after="0" w:line="276" w:lineRule="auto"/>
        <w:jc w:val="both"/>
        <w:rPr>
          <w:rFonts w:cs="Open Sans"/>
          <w:b/>
        </w:rPr>
      </w:pPr>
      <w:r w:rsidRPr="00007314">
        <w:rPr>
          <w:rFonts w:cs="Open Sans"/>
          <w:b/>
        </w:rPr>
        <w:t>ZMIANY UMOWY W SPRAWIE ZAMÓWIENIA</w:t>
      </w:r>
    </w:p>
    <w:p w14:paraId="2ADE834C" w14:textId="77777777" w:rsidR="008F4D07" w:rsidRPr="00007314" w:rsidRDefault="008F4D07" w:rsidP="002D21E8">
      <w:pPr>
        <w:numPr>
          <w:ilvl w:val="2"/>
          <w:numId w:val="31"/>
        </w:numPr>
        <w:spacing w:after="0" w:line="276" w:lineRule="auto"/>
        <w:ind w:left="360"/>
        <w:jc w:val="both"/>
        <w:rPr>
          <w:rFonts w:cs="Open Sans"/>
        </w:rPr>
      </w:pPr>
      <w:r w:rsidRPr="00007314">
        <w:rPr>
          <w:rFonts w:cs="Open Sans"/>
        </w:rPr>
        <w:t xml:space="preserve">Zmiany Umowy będą dokonywane pod rygorem nieważności w formie pisemnej. </w:t>
      </w:r>
    </w:p>
    <w:p w14:paraId="355FC1F1" w14:textId="77777777" w:rsidR="00BB5D33" w:rsidRPr="00007314" w:rsidRDefault="00BB5D33" w:rsidP="002D21E8">
      <w:pPr>
        <w:numPr>
          <w:ilvl w:val="2"/>
          <w:numId w:val="31"/>
        </w:numPr>
        <w:spacing w:after="0" w:line="276" w:lineRule="auto"/>
        <w:ind w:left="360"/>
        <w:jc w:val="both"/>
        <w:rPr>
          <w:rFonts w:cs="Open Sans"/>
        </w:rPr>
      </w:pPr>
      <w:r w:rsidRPr="00007314">
        <w:rPr>
          <w:rFonts w:eastAsia="Times New Roman" w:cs="Open Sans"/>
          <w:lang w:eastAsia="pl-PL"/>
        </w:rPr>
        <w:t xml:space="preserve">Zamawiający przewiduje możliwość zmiany umowy </w:t>
      </w:r>
      <w:r w:rsidR="00B36383" w:rsidRPr="00007314">
        <w:rPr>
          <w:rFonts w:cs="Open Sans"/>
        </w:rPr>
        <w:t>także w stosunku do treści oferty, na podstawie której dokonano wyboru Wykonawcy, w następujących przypadkach i na poniższych warunkach:</w:t>
      </w:r>
    </w:p>
    <w:p w14:paraId="35A01165" w14:textId="6966CD9F" w:rsidR="00BB5D33" w:rsidRPr="00007314" w:rsidRDefault="003A4332" w:rsidP="002D21E8">
      <w:pPr>
        <w:numPr>
          <w:ilvl w:val="4"/>
          <w:numId w:val="31"/>
        </w:numPr>
        <w:spacing w:after="0" w:line="276" w:lineRule="auto"/>
        <w:ind w:left="851"/>
        <w:jc w:val="both"/>
        <w:rPr>
          <w:rFonts w:cs="Open Sans"/>
        </w:rPr>
      </w:pPr>
      <w:r w:rsidRPr="00007314">
        <w:rPr>
          <w:rFonts w:eastAsia="Times New Roman" w:cs="Open Sans"/>
          <w:lang w:eastAsia="pl-PL"/>
        </w:rPr>
        <w:t>W</w:t>
      </w:r>
      <w:r w:rsidR="00BB5D33" w:rsidRPr="00007314">
        <w:rPr>
          <w:rFonts w:eastAsia="Times New Roman" w:cs="Open Sans"/>
          <w:lang w:eastAsia="pl-PL"/>
        </w:rPr>
        <w:t xml:space="preserve"> razie dokonywania przez Zamawiającego inwestycji w majątek trwały, wzrostu </w:t>
      </w:r>
      <w:r w:rsidR="00A41708">
        <w:rPr>
          <w:rFonts w:eastAsia="Times New Roman" w:cs="Open Sans"/>
          <w:lang w:eastAsia="pl-PL"/>
        </w:rPr>
        <w:t xml:space="preserve">lub spadku </w:t>
      </w:r>
      <w:r w:rsidR="00BB5D33" w:rsidRPr="00007314">
        <w:rPr>
          <w:rFonts w:eastAsia="Times New Roman" w:cs="Open Sans"/>
          <w:lang w:eastAsia="pl-PL"/>
        </w:rPr>
        <w:t>jego wartości lub zbywania takiego majątku, a także rozliczania klauzuli automatycznego pokrycia</w:t>
      </w:r>
      <w:r w:rsidRPr="00007314">
        <w:rPr>
          <w:rFonts w:eastAsia="Times New Roman" w:cs="Open Sans"/>
          <w:lang w:eastAsia="pl-PL"/>
        </w:rPr>
        <w:t xml:space="preserve"> – zmianie mogą ulec postanowienia Umowy w zakresie warunków ubezpieczenia, w szczególności </w:t>
      </w:r>
      <w:r w:rsidR="00A41708">
        <w:rPr>
          <w:rFonts w:eastAsia="Times New Roman" w:cs="Open Sans"/>
          <w:lang w:eastAsia="pl-PL"/>
        </w:rPr>
        <w:t>poprzez zmianę przedmiotu ubezpieczenia, wysokości</w:t>
      </w:r>
      <w:r w:rsidR="00A41708" w:rsidRPr="00007314">
        <w:rPr>
          <w:rFonts w:eastAsia="Times New Roman" w:cs="Open Sans"/>
          <w:lang w:eastAsia="pl-PL"/>
        </w:rPr>
        <w:t xml:space="preserve"> </w:t>
      </w:r>
      <w:r w:rsidRPr="00007314">
        <w:rPr>
          <w:rFonts w:eastAsia="Times New Roman" w:cs="Open Sans"/>
          <w:lang w:eastAsia="pl-PL"/>
        </w:rPr>
        <w:t>sumy ubezpieczenia oraz proporcjonaln</w:t>
      </w:r>
      <w:r w:rsidR="00A41708">
        <w:rPr>
          <w:rFonts w:eastAsia="Times New Roman" w:cs="Open Sans"/>
          <w:lang w:eastAsia="pl-PL"/>
        </w:rPr>
        <w:t>ą</w:t>
      </w:r>
      <w:r w:rsidRPr="00007314">
        <w:rPr>
          <w:rFonts w:eastAsia="Times New Roman" w:cs="Open Sans"/>
          <w:lang w:eastAsia="pl-PL"/>
        </w:rPr>
        <w:t xml:space="preserve"> </w:t>
      </w:r>
      <w:r w:rsidR="00A41708">
        <w:rPr>
          <w:rFonts w:eastAsia="Times New Roman" w:cs="Open Sans"/>
          <w:lang w:eastAsia="pl-PL"/>
        </w:rPr>
        <w:t xml:space="preserve">zmianę wysokości </w:t>
      </w:r>
      <w:r w:rsidRPr="00007314">
        <w:rPr>
          <w:rFonts w:eastAsia="Times New Roman" w:cs="Open Sans"/>
          <w:lang w:eastAsia="pl-PL"/>
        </w:rPr>
        <w:t>składki.</w:t>
      </w:r>
    </w:p>
    <w:p w14:paraId="67027378" w14:textId="6B5B7F25" w:rsidR="009176B5" w:rsidRPr="001E512C" w:rsidRDefault="009176B5" w:rsidP="002D21E8">
      <w:pPr>
        <w:numPr>
          <w:ilvl w:val="4"/>
          <w:numId w:val="31"/>
        </w:numPr>
        <w:spacing w:after="0" w:line="276" w:lineRule="auto"/>
        <w:ind w:left="851"/>
        <w:jc w:val="both"/>
        <w:rPr>
          <w:rFonts w:cs="Open Sans"/>
        </w:rPr>
      </w:pPr>
      <w:r>
        <w:rPr>
          <w:rFonts w:cs="Open Sans"/>
        </w:rPr>
        <w:t>W razie nabycia przez Zamawiającego nowego mienia – zmianie mogą ulec postanowienia Umowy poprzez objęcie ubezpieczeniem nowego mienia oraz podwyższenie wynagrodzenia Wykonawcy o składkę należną z tytułu jego ubezpieczenia.</w:t>
      </w:r>
    </w:p>
    <w:p w14:paraId="58C8172C" w14:textId="2A645AF7" w:rsidR="00BB5D33" w:rsidRPr="00007314" w:rsidRDefault="003A4332" w:rsidP="002D21E8">
      <w:pPr>
        <w:numPr>
          <w:ilvl w:val="4"/>
          <w:numId w:val="31"/>
        </w:numPr>
        <w:spacing w:after="0" w:line="276" w:lineRule="auto"/>
        <w:ind w:left="851"/>
        <w:jc w:val="both"/>
        <w:rPr>
          <w:rFonts w:cs="Open Sans"/>
        </w:rPr>
      </w:pPr>
      <w:r w:rsidRPr="00007314">
        <w:rPr>
          <w:rFonts w:eastAsia="Times New Roman" w:cs="Open Sans"/>
          <w:lang w:eastAsia="pl-PL"/>
        </w:rPr>
        <w:lastRenderedPageBreak/>
        <w:t>W</w:t>
      </w:r>
      <w:r w:rsidR="00BB5D33" w:rsidRPr="00007314">
        <w:rPr>
          <w:rFonts w:eastAsia="Times New Roman" w:cs="Open Sans"/>
          <w:lang w:eastAsia="pl-PL"/>
        </w:rPr>
        <w:t xml:space="preserve"> razie dokonywania przez Zamawiającego nabycia nowych pojazdów</w:t>
      </w:r>
      <w:r w:rsidRPr="00007314">
        <w:rPr>
          <w:rFonts w:eastAsia="Times New Roman" w:cs="Open Sans"/>
          <w:lang w:eastAsia="pl-PL"/>
        </w:rPr>
        <w:t xml:space="preserve"> – zmianie mogą ulec postanowienia Umowy poprzez objęcie ubezpieczeniem dodatkowych pojazdów oraz podwyższenie wynagrodzenia Wykonawcy o składkę należną z tytułu ubezpieczenia tych pojazdów.</w:t>
      </w:r>
    </w:p>
    <w:p w14:paraId="0F2DD7C4" w14:textId="27EB3E94" w:rsidR="00BB5D33" w:rsidRPr="00007314" w:rsidRDefault="003A4332" w:rsidP="002D21E8">
      <w:pPr>
        <w:numPr>
          <w:ilvl w:val="4"/>
          <w:numId w:val="31"/>
        </w:numPr>
        <w:spacing w:after="0" w:line="276" w:lineRule="auto"/>
        <w:ind w:left="851"/>
        <w:jc w:val="both"/>
        <w:rPr>
          <w:rFonts w:cs="Open Sans"/>
        </w:rPr>
      </w:pPr>
      <w:r w:rsidRPr="00007314">
        <w:rPr>
          <w:rFonts w:eastAsia="Times New Roman" w:cs="Open Sans"/>
          <w:lang w:eastAsia="pl-PL"/>
        </w:rPr>
        <w:t>W</w:t>
      </w:r>
      <w:r w:rsidR="00BB5D33" w:rsidRPr="00007314">
        <w:rPr>
          <w:rFonts w:eastAsia="Times New Roman" w:cs="Open Sans"/>
          <w:lang w:eastAsia="pl-PL"/>
        </w:rPr>
        <w:t xml:space="preserve"> razie konieczności zwiększenia aktualnych sum</w:t>
      </w:r>
      <w:r w:rsidR="00B36383" w:rsidRPr="00007314">
        <w:rPr>
          <w:rFonts w:eastAsia="Times New Roman" w:cs="Open Sans"/>
          <w:lang w:eastAsia="pl-PL"/>
        </w:rPr>
        <w:t xml:space="preserve"> </w:t>
      </w:r>
      <w:r w:rsidR="00BB5D33" w:rsidRPr="00007314">
        <w:rPr>
          <w:rFonts w:eastAsia="Times New Roman" w:cs="Open Sans"/>
          <w:lang w:eastAsia="pl-PL"/>
        </w:rPr>
        <w:t>ubezpieczenia</w:t>
      </w:r>
      <w:r w:rsidR="00B36383" w:rsidRPr="00007314">
        <w:rPr>
          <w:rFonts w:eastAsia="Times New Roman" w:cs="Open Sans"/>
          <w:lang w:eastAsia="pl-PL"/>
        </w:rPr>
        <w:t xml:space="preserve"> </w:t>
      </w:r>
      <w:r w:rsidR="00BB5D33" w:rsidRPr="00007314">
        <w:rPr>
          <w:rFonts w:eastAsia="Times New Roman" w:cs="Open Sans"/>
          <w:lang w:eastAsia="pl-PL"/>
        </w:rPr>
        <w:t>/gwarancyjnych lub uzupełnienia limitów</w:t>
      </w:r>
      <w:r w:rsidR="007D22BC">
        <w:rPr>
          <w:rFonts w:eastAsia="Times New Roman" w:cs="Open Sans"/>
          <w:lang w:eastAsia="pl-PL"/>
        </w:rPr>
        <w:t xml:space="preserve"> z przyczyn, których nie przewidywano na dzień ogłoszenia przetargu – zmianie może ulec wysokość tych sum oraz wysokość składki</w:t>
      </w:r>
      <w:r w:rsidR="009176B5">
        <w:rPr>
          <w:rFonts w:eastAsia="Times New Roman" w:cs="Open Sans"/>
          <w:lang w:eastAsia="pl-PL"/>
        </w:rPr>
        <w:t>.</w:t>
      </w:r>
    </w:p>
    <w:p w14:paraId="6CBB3971" w14:textId="2D23FE81" w:rsidR="00B36383" w:rsidRPr="00007314" w:rsidRDefault="003A4332" w:rsidP="002D21E8">
      <w:pPr>
        <w:numPr>
          <w:ilvl w:val="4"/>
          <w:numId w:val="31"/>
        </w:numPr>
        <w:spacing w:after="0" w:line="276" w:lineRule="auto"/>
        <w:ind w:left="851"/>
        <w:jc w:val="both"/>
        <w:rPr>
          <w:rFonts w:cs="Open Sans"/>
        </w:rPr>
      </w:pPr>
      <w:r w:rsidRPr="00007314">
        <w:rPr>
          <w:rFonts w:eastAsia="Times New Roman" w:cs="Open Sans"/>
          <w:lang w:eastAsia="pl-PL"/>
        </w:rPr>
        <w:t>W</w:t>
      </w:r>
      <w:r w:rsidR="00BB5D33" w:rsidRPr="00007314">
        <w:rPr>
          <w:rFonts w:eastAsia="Times New Roman" w:cs="Open Sans"/>
          <w:lang w:eastAsia="pl-PL"/>
        </w:rPr>
        <w:t xml:space="preserve"> przypadku zmian organizacyjnych (w tym przekształceń i likwidacji) mogących wystąpić u Zamawiającego, w tym zmian</w:t>
      </w:r>
      <w:r w:rsidR="009176B5">
        <w:rPr>
          <w:rFonts w:eastAsia="Times New Roman" w:cs="Open Sans"/>
          <w:lang w:eastAsia="pl-PL"/>
        </w:rPr>
        <w:t>y</w:t>
      </w:r>
      <w:r w:rsidR="00BB5D33" w:rsidRPr="00007314">
        <w:rPr>
          <w:rFonts w:eastAsia="Times New Roman" w:cs="Open Sans"/>
          <w:lang w:eastAsia="pl-PL"/>
        </w:rPr>
        <w:t xml:space="preserve"> zakresu wykonywanej działalności</w:t>
      </w:r>
      <w:r w:rsidR="009176B5">
        <w:rPr>
          <w:rFonts w:eastAsia="Times New Roman" w:cs="Open Sans"/>
          <w:lang w:eastAsia="pl-PL"/>
        </w:rPr>
        <w:t>,</w:t>
      </w:r>
      <w:r w:rsidR="00BB5D33" w:rsidRPr="00007314">
        <w:rPr>
          <w:rFonts w:eastAsia="Times New Roman" w:cs="Open Sans"/>
          <w:lang w:eastAsia="pl-PL"/>
        </w:rPr>
        <w:t xml:space="preserve">  miejsca jej wykonywania</w:t>
      </w:r>
      <w:r w:rsidR="009176B5">
        <w:rPr>
          <w:rFonts w:eastAsia="Times New Roman" w:cs="Open Sans"/>
          <w:lang w:eastAsia="pl-PL"/>
        </w:rPr>
        <w:t xml:space="preserve"> lub miejsca przechowywania mienia Zamawiającego</w:t>
      </w:r>
      <w:r w:rsidR="007D22BC">
        <w:rPr>
          <w:rFonts w:eastAsia="Times New Roman" w:cs="Open Sans"/>
          <w:lang w:eastAsia="pl-PL"/>
        </w:rPr>
        <w:t xml:space="preserve"> – zmianie mogą ulec </w:t>
      </w:r>
      <w:r w:rsidR="009176B5">
        <w:rPr>
          <w:rFonts w:eastAsia="Times New Roman" w:cs="Open Sans"/>
          <w:lang w:eastAsia="pl-PL"/>
        </w:rPr>
        <w:t xml:space="preserve">warunki ubezpieczenia, </w:t>
      </w:r>
      <w:r w:rsidR="007D22BC">
        <w:rPr>
          <w:rFonts w:eastAsia="Times New Roman" w:cs="Open Sans"/>
          <w:lang w:eastAsia="pl-PL"/>
        </w:rPr>
        <w:t xml:space="preserve">w szczególności </w:t>
      </w:r>
      <w:r w:rsidR="00D8342C">
        <w:rPr>
          <w:rFonts w:eastAsia="Times New Roman" w:cs="Open Sans"/>
          <w:lang w:eastAsia="pl-PL"/>
        </w:rPr>
        <w:t>przedmiot</w:t>
      </w:r>
      <w:r w:rsidR="009176B5">
        <w:rPr>
          <w:rFonts w:eastAsia="Times New Roman" w:cs="Open Sans"/>
          <w:lang w:eastAsia="pl-PL"/>
        </w:rPr>
        <w:t xml:space="preserve"> ubezpieczenia, klauzule ubezpieczeniowe, </w:t>
      </w:r>
      <w:r w:rsidR="007D22BC">
        <w:rPr>
          <w:rFonts w:eastAsia="Times New Roman" w:cs="Open Sans"/>
          <w:lang w:eastAsia="pl-PL"/>
        </w:rPr>
        <w:t>miejsc</w:t>
      </w:r>
      <w:r w:rsidR="009176B5">
        <w:rPr>
          <w:rFonts w:eastAsia="Times New Roman" w:cs="Open Sans"/>
          <w:lang w:eastAsia="pl-PL"/>
        </w:rPr>
        <w:t>e</w:t>
      </w:r>
      <w:r w:rsidR="007D22BC">
        <w:rPr>
          <w:rFonts w:eastAsia="Times New Roman" w:cs="Open Sans"/>
          <w:lang w:eastAsia="pl-PL"/>
        </w:rPr>
        <w:t xml:space="preserve"> ubezpieczenia</w:t>
      </w:r>
      <w:r w:rsidR="009176B5">
        <w:rPr>
          <w:rFonts w:eastAsia="Times New Roman" w:cs="Open Sans"/>
          <w:lang w:eastAsia="pl-PL"/>
        </w:rPr>
        <w:t>, wysokość składki.</w:t>
      </w:r>
    </w:p>
    <w:p w14:paraId="65978994" w14:textId="411BFE95" w:rsidR="00B36383" w:rsidRPr="00007314" w:rsidRDefault="00BB5D33" w:rsidP="002D21E8">
      <w:pPr>
        <w:numPr>
          <w:ilvl w:val="4"/>
          <w:numId w:val="31"/>
        </w:numPr>
        <w:spacing w:after="0" w:line="276" w:lineRule="auto"/>
        <w:ind w:left="851"/>
        <w:jc w:val="both"/>
        <w:rPr>
          <w:rFonts w:cs="Open Sans"/>
        </w:rPr>
      </w:pPr>
      <w:r w:rsidRPr="00007314">
        <w:rPr>
          <w:rFonts w:eastAsia="Times New Roman" w:cs="Open Sans"/>
          <w:lang w:eastAsia="pl-PL"/>
        </w:rPr>
        <w:t xml:space="preserve"> </w:t>
      </w:r>
      <w:r w:rsidR="003A4332" w:rsidRPr="00007314">
        <w:rPr>
          <w:rFonts w:eastAsia="Times New Roman" w:cs="Open Sans"/>
          <w:lang w:eastAsia="pl-PL"/>
        </w:rPr>
        <w:t>W</w:t>
      </w:r>
      <w:r w:rsidRPr="00007314">
        <w:rPr>
          <w:rFonts w:eastAsia="Times New Roman" w:cs="Open Sans"/>
          <w:lang w:eastAsia="pl-PL"/>
        </w:rPr>
        <w:t xml:space="preserve"> przypadku korzystnych dla Zamawiającego zmian Ogólnych Warunków Ubezpieczenia</w:t>
      </w:r>
      <w:r w:rsidR="003A4332" w:rsidRPr="00007314">
        <w:rPr>
          <w:rFonts w:eastAsia="Times New Roman" w:cs="Open Sans"/>
          <w:lang w:eastAsia="pl-PL"/>
        </w:rPr>
        <w:t xml:space="preserve"> – postanowienia Umowy mogą ulec zmianie polegającej na włączeniu do Umowy nowych lub zmienionych Ogólnych Warunków Ubezpieczenia.</w:t>
      </w:r>
    </w:p>
    <w:p w14:paraId="05BF1FB5" w14:textId="1867A218" w:rsidR="00B36383" w:rsidRPr="00007314" w:rsidRDefault="003A4332" w:rsidP="002D21E8">
      <w:pPr>
        <w:numPr>
          <w:ilvl w:val="4"/>
          <w:numId w:val="31"/>
        </w:numPr>
        <w:spacing w:after="0" w:line="276" w:lineRule="auto"/>
        <w:ind w:left="851"/>
        <w:jc w:val="both"/>
        <w:rPr>
          <w:rFonts w:cs="Open Sans"/>
        </w:rPr>
      </w:pPr>
      <w:r w:rsidRPr="00007314">
        <w:rPr>
          <w:rFonts w:eastAsia="Times New Roman" w:cs="Open Sans"/>
          <w:lang w:eastAsia="pl-PL"/>
        </w:rPr>
        <w:t>W</w:t>
      </w:r>
      <w:r w:rsidR="00BB5D33" w:rsidRPr="00007314">
        <w:rPr>
          <w:rFonts w:eastAsia="Times New Roman" w:cs="Open Sans"/>
          <w:lang w:eastAsia="pl-PL"/>
        </w:rPr>
        <w:t xml:space="preserve"> przypadku </w:t>
      </w:r>
      <w:r w:rsidR="00FE42B0">
        <w:rPr>
          <w:rFonts w:eastAsia="Times New Roman" w:cs="Open Sans"/>
          <w:lang w:eastAsia="pl-PL"/>
        </w:rPr>
        <w:t xml:space="preserve">zmiany zakresu lub przedmiotu prowadzonej przez Zamawiającego działalności, w szczególności w przypadku podjęcia się przez Zamawiającego realizacji zadań z zakresu utrzymania czystości i porządku </w:t>
      </w:r>
      <w:r w:rsidR="00807D2F">
        <w:rPr>
          <w:rFonts w:eastAsia="Times New Roman" w:cs="Open Sans"/>
          <w:lang w:eastAsia="pl-PL"/>
        </w:rPr>
        <w:t xml:space="preserve">w </w:t>
      </w:r>
      <w:r w:rsidR="00FE42B0">
        <w:rPr>
          <w:rFonts w:eastAsia="Times New Roman" w:cs="Open Sans"/>
          <w:lang w:eastAsia="pl-PL"/>
        </w:rPr>
        <w:t>innych sektorach Gminy Miasta Gdańska, niż aktualnie obsługiwane – zmianie może ulec w szczególności przedmiot ubezpieczenia, klauzule ubezpieczeniowe, wysokość składki</w:t>
      </w:r>
      <w:r w:rsidR="009176B5">
        <w:rPr>
          <w:rFonts w:eastAsia="Times New Roman" w:cs="Open Sans"/>
          <w:lang w:eastAsia="pl-PL"/>
        </w:rPr>
        <w:t>.</w:t>
      </w:r>
    </w:p>
    <w:p w14:paraId="4FBA969B" w14:textId="668D8ED5" w:rsidR="003A4332" w:rsidRPr="00007314" w:rsidRDefault="003A4332" w:rsidP="003A4332">
      <w:pPr>
        <w:numPr>
          <w:ilvl w:val="4"/>
          <w:numId w:val="31"/>
        </w:numPr>
        <w:spacing w:after="0" w:line="276" w:lineRule="auto"/>
        <w:ind w:left="851"/>
        <w:jc w:val="both"/>
        <w:rPr>
          <w:rFonts w:cs="Open Sans"/>
        </w:rPr>
      </w:pPr>
      <w:r w:rsidRPr="00007314">
        <w:rPr>
          <w:rFonts w:cs="Open Sans"/>
        </w:rPr>
        <w:t>W</w:t>
      </w:r>
      <w:r w:rsidR="00B36383" w:rsidRPr="00007314">
        <w:rPr>
          <w:rFonts w:cs="Open Sans"/>
        </w:rPr>
        <w:t xml:space="preserve">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r w:rsidR="009176B5">
        <w:rPr>
          <w:rFonts w:cs="Open Sans"/>
        </w:rPr>
        <w:t>.</w:t>
      </w:r>
    </w:p>
    <w:p w14:paraId="6BB29E5F" w14:textId="5FAD6F72" w:rsidR="003A4332" w:rsidRPr="00007314" w:rsidRDefault="003A4332" w:rsidP="003A4332">
      <w:pPr>
        <w:numPr>
          <w:ilvl w:val="4"/>
          <w:numId w:val="31"/>
        </w:numPr>
        <w:spacing w:after="0" w:line="276" w:lineRule="auto"/>
        <w:ind w:left="851"/>
        <w:jc w:val="both"/>
        <w:rPr>
          <w:rFonts w:cs="Open Sans"/>
        </w:rPr>
      </w:pPr>
      <w:r w:rsidRPr="007D22BC">
        <w:rPr>
          <w:rFonts w:eastAsia="Lucida Sans Unicode" w:cs="Arial"/>
          <w:color w:val="00000A"/>
          <w:lang w:eastAsia="zh-CN" w:bidi="hi-IN"/>
        </w:rPr>
        <w:t>W przypadku zmiany przepisów dotyczących stawki podatku od towarów i usług, jeśli zmiany te będą miały wpływ na koszty wykonania zamówienia przez Wykonawcę – zmianie mogą ulec postanowienia Umowy dotyczące wysokości wynagrodzenia Wykonawcy poprzez dostosowanie wysokości wynagrodzenia do zmienionej stawki podatku od towarów i usług</w:t>
      </w:r>
      <w:r w:rsidR="009176B5">
        <w:rPr>
          <w:rFonts w:eastAsia="Lucida Sans Unicode" w:cs="Arial"/>
          <w:color w:val="00000A"/>
          <w:lang w:eastAsia="zh-CN" w:bidi="hi-IN"/>
        </w:rPr>
        <w:t>.</w:t>
      </w:r>
    </w:p>
    <w:p w14:paraId="04636248" w14:textId="519674A7" w:rsidR="003A4332" w:rsidRPr="00007314" w:rsidRDefault="003A4332" w:rsidP="003A4332">
      <w:pPr>
        <w:numPr>
          <w:ilvl w:val="4"/>
          <w:numId w:val="31"/>
        </w:numPr>
        <w:spacing w:after="0" w:line="276" w:lineRule="auto"/>
        <w:ind w:left="851"/>
        <w:jc w:val="both"/>
        <w:rPr>
          <w:rFonts w:cs="Open Sans"/>
        </w:rPr>
      </w:pPr>
      <w:r w:rsidRPr="007D22BC">
        <w:rPr>
          <w:rFonts w:eastAsia="Times New Roman" w:cs="Arial"/>
          <w:lang w:eastAsia="pl-PL"/>
        </w:rPr>
        <w:t>W przypadku zmiany wysokości minimalnego wynagrodzenia za pracę albo wysokości minimalnej stawki godzinowej, ustalonych na podstawie przepisów ustawy z dnia 10 października 2002 r. o minimalnym wynagrodzeniu za pracę, zmianie mogą ulec postanowienia Umowy w zakresie wysokości wynagrodzenia Wykonawcy poprzez dostosowanie wysokości wynagrodzenia do zmienionej wysokości minimalnego wynagrodzenia za pracę albo wysokości minimalnej stawki godzinowej – pod warunkiem wykazania faktycznego wpływu zmiany w/w przepisów na koszty, które ponosi Wykonawca przy wykonywaniu Umowy.</w:t>
      </w:r>
    </w:p>
    <w:p w14:paraId="3B20880C" w14:textId="77777777" w:rsidR="003A4332" w:rsidRPr="00007314" w:rsidRDefault="003A4332" w:rsidP="007D22BC">
      <w:pPr>
        <w:spacing w:after="0" w:line="276" w:lineRule="auto"/>
        <w:ind w:left="851"/>
        <w:jc w:val="both"/>
        <w:rPr>
          <w:rFonts w:cs="Open Sans"/>
        </w:rPr>
      </w:pPr>
      <w:r w:rsidRPr="007D22BC">
        <w:rPr>
          <w:rFonts w:eastAsia="Times New Roman" w:cs="Arial"/>
          <w:lang w:eastAsia="pl-PL"/>
        </w:rPr>
        <w:t xml:space="preserve">Wynagrodzenie zostanie zmienione wyłącznie o kwotę stanowiącą różnicę pomiędzy kosztami, jakie Wykonawca zobowiązany jest ponieść na wynagrodzenia i obowiązkowe narzuty od wynagrodzeń osób wykonujących Umowę w związku ze zmianą wysokości minimalnego wynagrodzenia lub minimalnej stawki godzinowej a kosztami, jakie ponosił Wykonawca na wynagrodzenia i narzuty od wynagrodzenia, do których mają zastosowanie przepisy ustawy o minimalnym wynagrodzeniu za </w:t>
      </w:r>
      <w:r w:rsidRPr="007D22BC">
        <w:rPr>
          <w:rFonts w:eastAsia="Times New Roman" w:cs="Arial"/>
          <w:lang w:eastAsia="pl-PL"/>
        </w:rPr>
        <w:lastRenderedPageBreak/>
        <w:t>pracę, przed zmianą minimalnego wynagrodzenia za pracę lub minimalnej stawki godzinowej.</w:t>
      </w:r>
    </w:p>
    <w:p w14:paraId="326FE1A8" w14:textId="6A1002A8" w:rsidR="003A4332" w:rsidRPr="007D22BC" w:rsidRDefault="003A4332" w:rsidP="007D22BC">
      <w:pPr>
        <w:spacing w:after="0" w:line="276" w:lineRule="auto"/>
        <w:ind w:left="851"/>
        <w:jc w:val="both"/>
        <w:rPr>
          <w:rFonts w:cs="Open Sans"/>
        </w:rPr>
      </w:pPr>
      <w:r w:rsidRPr="007D22BC">
        <w:rPr>
          <w:rFonts w:eastAsia="Times New Roman" w:cs="Arial"/>
          <w:lang w:eastAsia="pl-PL"/>
        </w:rPr>
        <w:t>Zmiana nastąpi począwszy od miesiąca następnego od wykazania Zamawiającemu zmiany kosztów wykonywania Umowy przez Wykonawcę, adekwatnie do faktycznej zmiany kosztów wykonywania Umowy.</w:t>
      </w:r>
    </w:p>
    <w:p w14:paraId="51C01669" w14:textId="454C87E2" w:rsidR="003A4332" w:rsidRPr="00007314" w:rsidRDefault="003A4332" w:rsidP="003A4332">
      <w:pPr>
        <w:numPr>
          <w:ilvl w:val="4"/>
          <w:numId w:val="31"/>
        </w:numPr>
        <w:spacing w:after="0" w:line="276" w:lineRule="auto"/>
        <w:ind w:left="851"/>
        <w:jc w:val="both"/>
        <w:rPr>
          <w:rFonts w:cs="Open Sans"/>
        </w:rPr>
      </w:pPr>
      <w:r w:rsidRPr="007D22BC">
        <w:rPr>
          <w:rFonts w:eastAsia="Times New Roman" w:cs="Arial"/>
          <w:lang w:eastAsia="pl-PL"/>
        </w:rPr>
        <w:t xml:space="preserve">W przypadku zmiany zasad podlegania ubezpieczeniom społecznym lub ubezpieczeniu zdrowotnemu lub wysokości stawki składki na ubezpieczenia społeczne lub zdrowotne </w:t>
      </w:r>
      <w:bookmarkStart w:id="6" w:name="_Hlk535233435"/>
      <w:r w:rsidRPr="007D22BC">
        <w:rPr>
          <w:rFonts w:eastAsia="Times New Roman" w:cs="Arial"/>
          <w:lang w:eastAsia="pl-PL"/>
        </w:rPr>
        <w:t>zmianie mogą ulec postanowienia Umowy w zakresie wysokości wynagrodzenia Wykonawcy poprzez dostosowanie wysokości wynagrodzenia do zmienionych zasad lub wysokości w/w składek.</w:t>
      </w:r>
      <w:bookmarkStart w:id="7" w:name="_Hlk535233537"/>
      <w:bookmarkEnd w:id="6"/>
    </w:p>
    <w:p w14:paraId="5812862E" w14:textId="5128A4B1" w:rsidR="003A4332" w:rsidRPr="007D22BC" w:rsidRDefault="003A4332" w:rsidP="007D22BC">
      <w:pPr>
        <w:spacing w:after="0" w:line="276" w:lineRule="auto"/>
        <w:ind w:left="851"/>
        <w:jc w:val="both"/>
        <w:rPr>
          <w:rFonts w:cs="Open Sans"/>
        </w:rPr>
      </w:pPr>
      <w:r w:rsidRPr="007D22BC">
        <w:rPr>
          <w:rFonts w:eastAsia="Times New Roman" w:cs="Arial"/>
          <w:lang w:eastAsia="pl-PL"/>
        </w:rPr>
        <w:t>Wynagrodzenie zostanie zmienione wyłącznie o kwotę stanowiącą różnicę pomiędzy kosztami jakie zobowiązany jest ponieść Wykonawca w związku ze zmianą przepisów wskazanych w zdaniu poprzedzającym a kosztami, jakie ponosił Wykonawca na podstawie dotychczasowych przepisów.</w:t>
      </w:r>
    </w:p>
    <w:p w14:paraId="59B26C79" w14:textId="64F4A2E6" w:rsidR="003A4332" w:rsidRPr="007D22BC" w:rsidRDefault="003A4332" w:rsidP="007D22BC">
      <w:pPr>
        <w:spacing w:after="0" w:line="276" w:lineRule="auto"/>
        <w:ind w:left="851"/>
        <w:jc w:val="both"/>
        <w:rPr>
          <w:rFonts w:cs="Open Sans"/>
        </w:rPr>
      </w:pPr>
      <w:bookmarkStart w:id="8" w:name="_Hlk535235652"/>
      <w:r w:rsidRPr="007D22BC">
        <w:rPr>
          <w:rFonts w:eastAsia="Times New Roman" w:cs="Arial"/>
          <w:lang w:eastAsia="pl-PL"/>
        </w:rPr>
        <w:t>Zmiana nastąpi począwszy od miesiąca następnego od wykazania Zamawiającemu zmiany kosztów wykonywania Umowy przez Wykonawcę, adekwatnie do faktycznej zmiany kosztów wykonywania Umowy.</w:t>
      </w:r>
    </w:p>
    <w:bookmarkEnd w:id="7"/>
    <w:bookmarkEnd w:id="8"/>
    <w:p w14:paraId="119F7F89" w14:textId="77777777" w:rsidR="003A4332" w:rsidRPr="00007314" w:rsidRDefault="003A4332" w:rsidP="003A4332">
      <w:pPr>
        <w:numPr>
          <w:ilvl w:val="4"/>
          <w:numId w:val="31"/>
        </w:numPr>
        <w:spacing w:after="0" w:line="276" w:lineRule="auto"/>
        <w:ind w:left="851"/>
        <w:jc w:val="both"/>
        <w:rPr>
          <w:rFonts w:cs="Open Sans"/>
        </w:rPr>
      </w:pPr>
      <w:r w:rsidRPr="007D22BC">
        <w:rPr>
          <w:rFonts w:eastAsia="Times New Roman" w:cs="Arial"/>
          <w:lang w:eastAsia="pl-PL"/>
        </w:rPr>
        <w:t>w przypadku zmiany zasad gromadzenia i wysokości wpłat do pracowniczych planów kapitałowych, o których mowa w ustawie z dnia 4 października 2018 r. o pracowniczych planach kapitałowych - zmianie mogą ulec postanowienia Umowy w zakresie wysokości wynagrodzenia Wykonawcy poprzez dostosowanie wysokości wynagrodzenia do zmienionych zasad lub wysokości tych wpłat.</w:t>
      </w:r>
    </w:p>
    <w:p w14:paraId="1370FE15" w14:textId="2405BADA" w:rsidR="003A4332" w:rsidRPr="007D22BC" w:rsidRDefault="003A4332" w:rsidP="007D22BC">
      <w:pPr>
        <w:spacing w:after="0" w:line="276" w:lineRule="auto"/>
        <w:ind w:left="851"/>
        <w:jc w:val="both"/>
        <w:rPr>
          <w:rFonts w:cs="Open Sans"/>
        </w:rPr>
      </w:pPr>
      <w:r w:rsidRPr="007D22BC">
        <w:rPr>
          <w:rFonts w:eastAsia="Times New Roman" w:cs="Arial"/>
          <w:lang w:eastAsia="pl-PL"/>
        </w:rPr>
        <w:t>Wynagrodzenie zostanie zmienione wyłącznie o kwotę stanowiącą różnicę pomiędzy kosztami jakie zobowiązany jest ponieść Wykonawca w związku ze zmianą przepisów wskazanych w zdaniu poprzedzającym a kosztami, jakie ponosił Wykonawca na podstawie dotychczasowych przepisów. Zmiana nastąpi począwszy od miesiąca następnego od wykazania Zamawiającemu zmiany kosztów wykonywania Umowy przez Wykonawcę, adekwatnie do faktycznej zmiany kosztów wykonywania Umowy.</w:t>
      </w:r>
    </w:p>
    <w:p w14:paraId="46B19C05" w14:textId="06B101A9" w:rsidR="00754642" w:rsidRPr="00740B4D" w:rsidRDefault="003A4332" w:rsidP="00740B4D">
      <w:pPr>
        <w:numPr>
          <w:ilvl w:val="4"/>
          <w:numId w:val="31"/>
        </w:numPr>
        <w:spacing w:after="0" w:line="276" w:lineRule="auto"/>
        <w:ind w:left="851"/>
        <w:jc w:val="both"/>
        <w:rPr>
          <w:rFonts w:cs="Open Sans"/>
        </w:rPr>
      </w:pPr>
      <w:r w:rsidRPr="007D22BC">
        <w:rPr>
          <w:rFonts w:eastAsia="Times New Roman" w:cs="Arial"/>
          <w:lang w:eastAsia="pl-PL"/>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bookmarkStart w:id="9" w:name="_Hlk499623599"/>
    </w:p>
    <w:p w14:paraId="0BE1B689" w14:textId="77777777" w:rsidR="00740B4D" w:rsidRDefault="00740B4D" w:rsidP="00B36383">
      <w:pPr>
        <w:spacing w:after="519" w:line="276" w:lineRule="auto"/>
        <w:ind w:right="23"/>
        <w:contextualSpacing/>
        <w:jc w:val="both"/>
        <w:rPr>
          <w:rFonts w:eastAsia="Times New Roman" w:cs="Open Sans"/>
          <w:lang w:eastAsia="pl-PL"/>
        </w:rPr>
      </w:pPr>
    </w:p>
    <w:p w14:paraId="26BB3420" w14:textId="0A842DE7" w:rsidR="00754642" w:rsidRPr="00007314" w:rsidRDefault="00754642" w:rsidP="00B36383">
      <w:pPr>
        <w:spacing w:after="519" w:line="276" w:lineRule="auto"/>
        <w:ind w:right="23"/>
        <w:contextualSpacing/>
        <w:jc w:val="both"/>
        <w:rPr>
          <w:rFonts w:cs="Open Sans"/>
        </w:rPr>
      </w:pPr>
      <w:r w:rsidRPr="00007314">
        <w:rPr>
          <w:rFonts w:eastAsia="Times New Roman" w:cs="Open Sans"/>
          <w:lang w:eastAsia="pl-PL"/>
        </w:rPr>
        <w:t xml:space="preserve">Wystąpienie przesłanek jak powyżej nie </w:t>
      </w:r>
      <w:r w:rsidR="001251E8" w:rsidRPr="00007314">
        <w:rPr>
          <w:rFonts w:eastAsia="Times New Roman" w:cs="Open Sans"/>
          <w:lang w:eastAsia="pl-PL"/>
        </w:rPr>
        <w:t>zobowiązuje stron do zmiany Umowy, a jedynie umożliwia</w:t>
      </w:r>
      <w:r w:rsidRPr="00007314">
        <w:rPr>
          <w:rFonts w:eastAsia="Times New Roman" w:cs="Open Sans"/>
          <w:lang w:eastAsia="pl-PL"/>
        </w:rPr>
        <w:t xml:space="preserve"> uzgodnieni</w:t>
      </w:r>
      <w:r w:rsidR="008916C9" w:rsidRPr="00007314">
        <w:rPr>
          <w:rFonts w:eastAsia="Times New Roman" w:cs="Open Sans"/>
          <w:lang w:eastAsia="pl-PL"/>
        </w:rPr>
        <w:t>e</w:t>
      </w:r>
      <w:r w:rsidRPr="00007314">
        <w:rPr>
          <w:rFonts w:eastAsia="Times New Roman" w:cs="Open Sans"/>
          <w:lang w:eastAsia="pl-PL"/>
        </w:rPr>
        <w:t xml:space="preserve"> takich zmian.</w:t>
      </w:r>
    </w:p>
    <w:bookmarkEnd w:id="9"/>
    <w:p w14:paraId="75467B5D" w14:textId="77777777" w:rsidR="008F4D07" w:rsidRPr="00007314" w:rsidRDefault="008F4D07" w:rsidP="00740B4D">
      <w:pPr>
        <w:tabs>
          <w:tab w:val="left" w:pos="567"/>
        </w:tabs>
        <w:autoSpaceDE w:val="0"/>
        <w:autoSpaceDN w:val="0"/>
        <w:adjustRightInd w:val="0"/>
        <w:spacing w:after="0" w:line="276" w:lineRule="auto"/>
        <w:rPr>
          <w:rFonts w:cs="Open Sans"/>
        </w:rPr>
      </w:pPr>
    </w:p>
    <w:p w14:paraId="2BF78883" w14:textId="77777777" w:rsidR="008F4D07" w:rsidRPr="00007314" w:rsidRDefault="008F4D07" w:rsidP="00CF2FDA">
      <w:pPr>
        <w:numPr>
          <w:ilvl w:val="0"/>
          <w:numId w:val="2"/>
        </w:numPr>
        <w:tabs>
          <w:tab w:val="left" w:pos="567"/>
        </w:tabs>
        <w:spacing w:after="0" w:line="276" w:lineRule="auto"/>
        <w:jc w:val="both"/>
        <w:rPr>
          <w:rFonts w:cs="Open Sans"/>
          <w:b/>
        </w:rPr>
      </w:pPr>
      <w:r w:rsidRPr="00007314">
        <w:rPr>
          <w:rFonts w:cs="Open Sans"/>
          <w:b/>
        </w:rPr>
        <w:t>POSTANOWIENIA KOŃCOWE</w:t>
      </w:r>
    </w:p>
    <w:p w14:paraId="523CC874" w14:textId="1B99621A" w:rsidR="008F4D07" w:rsidRPr="00007314" w:rsidRDefault="008F4D07" w:rsidP="002D21E8">
      <w:pPr>
        <w:numPr>
          <w:ilvl w:val="0"/>
          <w:numId w:val="13"/>
        </w:numPr>
        <w:tabs>
          <w:tab w:val="left" w:pos="993"/>
        </w:tabs>
        <w:spacing w:after="0" w:line="276" w:lineRule="auto"/>
        <w:ind w:left="993" w:hanging="284"/>
        <w:jc w:val="both"/>
        <w:rPr>
          <w:rFonts w:cs="Open Sans"/>
        </w:rPr>
      </w:pPr>
      <w:r w:rsidRPr="00007314">
        <w:rPr>
          <w:rFonts w:cs="Open Sans"/>
        </w:rPr>
        <w:t>Zamawiający dopuszcza składani</w:t>
      </w:r>
      <w:r w:rsidR="00807D2F">
        <w:rPr>
          <w:rFonts w:cs="Open Sans"/>
        </w:rPr>
        <w:t>e</w:t>
      </w:r>
      <w:r w:rsidRPr="00007314">
        <w:rPr>
          <w:rFonts w:cs="Open Sans"/>
        </w:rPr>
        <w:t xml:space="preserve"> ofert częściowych.</w:t>
      </w:r>
    </w:p>
    <w:p w14:paraId="00E2F332" w14:textId="66553252" w:rsidR="008F4D07" w:rsidRPr="00007314" w:rsidRDefault="008F4D07" w:rsidP="002D21E8">
      <w:pPr>
        <w:numPr>
          <w:ilvl w:val="0"/>
          <w:numId w:val="13"/>
        </w:numPr>
        <w:tabs>
          <w:tab w:val="left" w:pos="993"/>
        </w:tabs>
        <w:spacing w:after="0" w:line="276" w:lineRule="auto"/>
        <w:ind w:left="993" w:hanging="284"/>
        <w:jc w:val="both"/>
        <w:rPr>
          <w:rFonts w:cs="Open Sans"/>
        </w:rPr>
      </w:pPr>
      <w:r w:rsidRPr="00007314">
        <w:rPr>
          <w:rFonts w:cs="Open Sans"/>
        </w:rPr>
        <w:t xml:space="preserve">Zamawiający nie przewiduje zawarcia </w:t>
      </w:r>
      <w:r w:rsidR="009B25C1">
        <w:rPr>
          <w:rFonts w:cs="Open Sans"/>
        </w:rPr>
        <w:t>u</w:t>
      </w:r>
      <w:r w:rsidRPr="00007314">
        <w:rPr>
          <w:rFonts w:cs="Open Sans"/>
        </w:rPr>
        <w:t>mowy ramowej.</w:t>
      </w:r>
    </w:p>
    <w:p w14:paraId="1D986B9B" w14:textId="77777777" w:rsidR="008F4D07" w:rsidRPr="00007314" w:rsidRDefault="008F4D07" w:rsidP="002D21E8">
      <w:pPr>
        <w:pStyle w:val="Akapitzlist"/>
        <w:numPr>
          <w:ilvl w:val="0"/>
          <w:numId w:val="13"/>
        </w:numPr>
        <w:tabs>
          <w:tab w:val="left" w:pos="993"/>
        </w:tabs>
        <w:spacing w:after="0" w:line="276" w:lineRule="auto"/>
        <w:ind w:left="993" w:hanging="284"/>
        <w:jc w:val="both"/>
        <w:rPr>
          <w:rFonts w:cs="Open Sans"/>
        </w:rPr>
      </w:pPr>
      <w:r w:rsidRPr="00007314">
        <w:rPr>
          <w:rFonts w:cs="Open Sans"/>
        </w:rPr>
        <w:t>Zamawiający nie wymaga i nie dopuszcza składania ofert wariantowych.</w:t>
      </w:r>
    </w:p>
    <w:p w14:paraId="7B64D3C0" w14:textId="77777777" w:rsidR="008F4D07" w:rsidRPr="00007314" w:rsidRDefault="008F4D07" w:rsidP="002D21E8">
      <w:pPr>
        <w:numPr>
          <w:ilvl w:val="0"/>
          <w:numId w:val="13"/>
        </w:numPr>
        <w:tabs>
          <w:tab w:val="left" w:pos="993"/>
        </w:tabs>
        <w:spacing w:after="0" w:line="276" w:lineRule="auto"/>
        <w:ind w:left="993" w:hanging="284"/>
        <w:jc w:val="both"/>
        <w:rPr>
          <w:rFonts w:cs="Open Sans"/>
        </w:rPr>
      </w:pPr>
      <w:r w:rsidRPr="00007314">
        <w:rPr>
          <w:rFonts w:cs="Open Sans"/>
        </w:rPr>
        <w:t>Zamawiający nie przewiduje rozliczeń między Zamawiającym a Wykonawcą w walutach obcych.</w:t>
      </w:r>
    </w:p>
    <w:p w14:paraId="661C6C2A" w14:textId="77777777" w:rsidR="008F4D07" w:rsidRPr="00007314" w:rsidRDefault="008F4D07" w:rsidP="002D21E8">
      <w:pPr>
        <w:numPr>
          <w:ilvl w:val="0"/>
          <w:numId w:val="13"/>
        </w:numPr>
        <w:tabs>
          <w:tab w:val="left" w:pos="993"/>
        </w:tabs>
        <w:spacing w:after="0" w:line="276" w:lineRule="auto"/>
        <w:ind w:left="993" w:hanging="284"/>
        <w:jc w:val="both"/>
        <w:rPr>
          <w:rFonts w:cs="Open Sans"/>
        </w:rPr>
      </w:pPr>
      <w:r w:rsidRPr="00007314">
        <w:rPr>
          <w:rFonts w:cs="Open Sans"/>
        </w:rPr>
        <w:t>Zamawiający nie przewiduje aukcji elektronicznej.</w:t>
      </w:r>
    </w:p>
    <w:p w14:paraId="6B6E6FC8" w14:textId="77777777" w:rsidR="008F4D07" w:rsidRPr="00007314" w:rsidRDefault="008F4D07" w:rsidP="002D21E8">
      <w:pPr>
        <w:numPr>
          <w:ilvl w:val="0"/>
          <w:numId w:val="13"/>
        </w:numPr>
        <w:tabs>
          <w:tab w:val="left" w:pos="993"/>
        </w:tabs>
        <w:spacing w:after="0" w:line="276" w:lineRule="auto"/>
        <w:ind w:left="993" w:hanging="284"/>
        <w:jc w:val="both"/>
        <w:rPr>
          <w:rFonts w:cs="Open Sans"/>
        </w:rPr>
      </w:pPr>
      <w:r w:rsidRPr="00007314">
        <w:rPr>
          <w:rFonts w:cs="Open Sans"/>
        </w:rPr>
        <w:t>Zamawiający nie przewiduje zwrotu kosztów udziału w postępowaniu.</w:t>
      </w:r>
    </w:p>
    <w:p w14:paraId="06C33469" w14:textId="77777777" w:rsidR="008F4D07" w:rsidRPr="00007314" w:rsidRDefault="008F4D07" w:rsidP="002D21E8">
      <w:pPr>
        <w:numPr>
          <w:ilvl w:val="0"/>
          <w:numId w:val="13"/>
        </w:numPr>
        <w:tabs>
          <w:tab w:val="left" w:pos="993"/>
        </w:tabs>
        <w:spacing w:after="0" w:line="276" w:lineRule="auto"/>
        <w:ind w:left="993" w:hanging="284"/>
        <w:jc w:val="both"/>
        <w:rPr>
          <w:rFonts w:cs="Open Sans"/>
        </w:rPr>
      </w:pPr>
      <w:r w:rsidRPr="00007314">
        <w:rPr>
          <w:rFonts w:cs="Open Sans"/>
        </w:rPr>
        <w:lastRenderedPageBreak/>
        <w:t xml:space="preserve">Zamawiający przewiduje możliwość dokonywania istotnych zmian postanowień Umowy, także w stosunku do treści oferty, w zakresie i na warunkach określonych w </w:t>
      </w:r>
      <w:r w:rsidR="001D335B" w:rsidRPr="00007314">
        <w:rPr>
          <w:rFonts w:cs="Open Sans"/>
        </w:rPr>
        <w:t xml:space="preserve">obowiązujących przepisach, w </w:t>
      </w:r>
      <w:r w:rsidRPr="00007314">
        <w:rPr>
          <w:rFonts w:cs="Open Sans"/>
        </w:rPr>
        <w:t>SIWZ oraz we Wzorze Umowy.</w:t>
      </w:r>
    </w:p>
    <w:p w14:paraId="653ED092" w14:textId="77777777" w:rsidR="00FE38E8" w:rsidRPr="00740B4D" w:rsidRDefault="00FE38E8" w:rsidP="00740B4D">
      <w:pPr>
        <w:tabs>
          <w:tab w:val="left" w:pos="1418"/>
        </w:tabs>
        <w:spacing w:after="0" w:line="276" w:lineRule="auto"/>
        <w:jc w:val="both"/>
        <w:rPr>
          <w:rFonts w:cs="Open Sans"/>
        </w:rPr>
      </w:pPr>
    </w:p>
    <w:p w14:paraId="2EBC0F38" w14:textId="1835A556" w:rsidR="006758DD" w:rsidRPr="00740B4D" w:rsidRDefault="00C63EFE" w:rsidP="00CF2FDA">
      <w:pPr>
        <w:pStyle w:val="Akapitzlist"/>
        <w:numPr>
          <w:ilvl w:val="0"/>
          <w:numId w:val="2"/>
        </w:numPr>
        <w:spacing w:after="0" w:line="276" w:lineRule="auto"/>
        <w:jc w:val="both"/>
        <w:rPr>
          <w:rFonts w:cs="Open Sans"/>
          <w:b/>
        </w:rPr>
      </w:pPr>
      <w:r w:rsidRPr="00007314">
        <w:rPr>
          <w:rFonts w:cs="Open Sans"/>
          <w:b/>
        </w:rPr>
        <w:t>ZAŁĄCZNIKI</w:t>
      </w:r>
    </w:p>
    <w:p w14:paraId="7FA0A0B2" w14:textId="77777777" w:rsidR="008F4D07" w:rsidRPr="00007314" w:rsidRDefault="008F4D07" w:rsidP="002D21E8">
      <w:pPr>
        <w:pStyle w:val="Akapitzlist"/>
        <w:numPr>
          <w:ilvl w:val="0"/>
          <w:numId w:val="32"/>
        </w:numPr>
        <w:tabs>
          <w:tab w:val="left" w:pos="993"/>
        </w:tabs>
        <w:autoSpaceDE w:val="0"/>
        <w:autoSpaceDN w:val="0"/>
        <w:adjustRightInd w:val="0"/>
        <w:spacing w:after="0" w:line="276" w:lineRule="auto"/>
        <w:ind w:left="1080"/>
        <w:jc w:val="both"/>
        <w:rPr>
          <w:rFonts w:cs="Open Sans"/>
        </w:rPr>
      </w:pPr>
      <w:bookmarkStart w:id="10" w:name="_Hlk535239661"/>
      <w:r w:rsidRPr="00007314">
        <w:rPr>
          <w:rFonts w:cs="Open Sans"/>
        </w:rPr>
        <w:t>Wzór formularza oferty</w:t>
      </w:r>
      <w:r w:rsidR="00230408" w:rsidRPr="00007314">
        <w:rPr>
          <w:rFonts w:cs="Open Sans"/>
        </w:rPr>
        <w:t xml:space="preserve"> </w:t>
      </w:r>
      <w:r w:rsidRPr="00007314">
        <w:rPr>
          <w:rFonts w:cs="Open Sans"/>
        </w:rPr>
        <w:t>– załącznik nr 1;</w:t>
      </w:r>
    </w:p>
    <w:p w14:paraId="0392D119" w14:textId="28CA7BFA" w:rsidR="00C42938" w:rsidRPr="00007314" w:rsidRDefault="008F4D07" w:rsidP="00C42938">
      <w:pPr>
        <w:pStyle w:val="Akapitzlist"/>
        <w:numPr>
          <w:ilvl w:val="0"/>
          <w:numId w:val="32"/>
        </w:numPr>
        <w:tabs>
          <w:tab w:val="left" w:pos="993"/>
        </w:tabs>
        <w:autoSpaceDE w:val="0"/>
        <w:autoSpaceDN w:val="0"/>
        <w:adjustRightInd w:val="0"/>
        <w:spacing w:after="0" w:line="276" w:lineRule="auto"/>
        <w:ind w:left="1080"/>
        <w:jc w:val="both"/>
        <w:rPr>
          <w:rFonts w:cs="Open Sans"/>
        </w:rPr>
      </w:pPr>
      <w:r w:rsidRPr="00007314">
        <w:rPr>
          <w:rFonts w:cs="Open Sans"/>
        </w:rPr>
        <w:t>Wzór oświadczenia o niepodleganiu wykluczeniu oraz o spełnieniu warunków udziału w postępowaniu – załącznik nr 2;</w:t>
      </w:r>
    </w:p>
    <w:p w14:paraId="46EB3CA7" w14:textId="3A6D86B8" w:rsidR="008F4D07" w:rsidRPr="00007314" w:rsidRDefault="008F4D07" w:rsidP="002D21E8">
      <w:pPr>
        <w:pStyle w:val="Akapitzlist"/>
        <w:numPr>
          <w:ilvl w:val="0"/>
          <w:numId w:val="32"/>
        </w:numPr>
        <w:tabs>
          <w:tab w:val="left" w:pos="993"/>
        </w:tabs>
        <w:autoSpaceDE w:val="0"/>
        <w:autoSpaceDN w:val="0"/>
        <w:adjustRightInd w:val="0"/>
        <w:spacing w:after="0" w:line="276" w:lineRule="auto"/>
        <w:ind w:left="1080"/>
        <w:jc w:val="both"/>
        <w:rPr>
          <w:rFonts w:cs="Open Sans"/>
        </w:rPr>
      </w:pPr>
      <w:r w:rsidRPr="00007314">
        <w:rPr>
          <w:rFonts w:cs="Open Sans"/>
        </w:rPr>
        <w:t xml:space="preserve">Wzór informacji o przynależności do grupy kapitałowej – załącznik nr </w:t>
      </w:r>
      <w:r w:rsidR="00C42938" w:rsidRPr="00007314">
        <w:rPr>
          <w:rFonts w:cs="Open Sans"/>
        </w:rPr>
        <w:t>3</w:t>
      </w:r>
      <w:r w:rsidRPr="00007314">
        <w:rPr>
          <w:rFonts w:cs="Open Sans"/>
        </w:rPr>
        <w:t>;</w:t>
      </w:r>
    </w:p>
    <w:p w14:paraId="32E7A282" w14:textId="25AA6A8F" w:rsidR="00005465" w:rsidRPr="00007314" w:rsidRDefault="00005465" w:rsidP="002D21E8">
      <w:pPr>
        <w:pStyle w:val="Akapitzlist"/>
        <w:numPr>
          <w:ilvl w:val="0"/>
          <w:numId w:val="32"/>
        </w:numPr>
        <w:tabs>
          <w:tab w:val="left" w:pos="993"/>
        </w:tabs>
        <w:autoSpaceDE w:val="0"/>
        <w:autoSpaceDN w:val="0"/>
        <w:adjustRightInd w:val="0"/>
        <w:spacing w:after="0" w:line="276" w:lineRule="auto"/>
        <w:ind w:left="1080"/>
        <w:jc w:val="both"/>
        <w:rPr>
          <w:rFonts w:cs="Open Sans"/>
        </w:rPr>
      </w:pPr>
      <w:r w:rsidRPr="00007314">
        <w:rPr>
          <w:rFonts w:cs="Open Sans"/>
        </w:rPr>
        <w:t xml:space="preserve">Opis przedmiotu zamówienia – załącznik nr </w:t>
      </w:r>
      <w:r w:rsidR="007C23C5" w:rsidRPr="00007314">
        <w:rPr>
          <w:rFonts w:cs="Open Sans"/>
        </w:rPr>
        <w:t>4</w:t>
      </w:r>
      <w:r w:rsidR="00C63EFE" w:rsidRPr="00007314">
        <w:rPr>
          <w:rFonts w:cs="Open Sans"/>
        </w:rPr>
        <w:t>;</w:t>
      </w:r>
    </w:p>
    <w:p w14:paraId="16A021FF" w14:textId="2F3FEA27" w:rsidR="00196705" w:rsidRPr="00740B4D" w:rsidRDefault="008F4D07" w:rsidP="00BF4856">
      <w:pPr>
        <w:pStyle w:val="Akapitzlist"/>
        <w:numPr>
          <w:ilvl w:val="0"/>
          <w:numId w:val="32"/>
        </w:numPr>
        <w:tabs>
          <w:tab w:val="left" w:pos="993"/>
        </w:tabs>
        <w:autoSpaceDE w:val="0"/>
        <w:autoSpaceDN w:val="0"/>
        <w:adjustRightInd w:val="0"/>
        <w:spacing w:after="0" w:line="276" w:lineRule="auto"/>
        <w:ind w:left="1080"/>
        <w:jc w:val="both"/>
        <w:rPr>
          <w:rFonts w:cs="Open Sans"/>
        </w:rPr>
      </w:pPr>
      <w:r w:rsidRPr="00007314">
        <w:rPr>
          <w:rFonts w:cs="Open Sans"/>
        </w:rPr>
        <w:t xml:space="preserve">Wzór Umowy - załącznik nr </w:t>
      </w:r>
      <w:r w:rsidR="007C23C5" w:rsidRPr="00007314">
        <w:rPr>
          <w:rFonts w:cs="Open Sans"/>
        </w:rPr>
        <w:t>5</w:t>
      </w:r>
      <w:r w:rsidR="00C63EFE" w:rsidRPr="00007314">
        <w:rPr>
          <w:rFonts w:cs="Open Sans"/>
        </w:rPr>
        <w:t>.</w:t>
      </w:r>
    </w:p>
    <w:bookmarkEnd w:id="10"/>
    <w:p w14:paraId="0C9E1B41" w14:textId="77777777" w:rsidR="004B4D9D" w:rsidRPr="007D22BC" w:rsidRDefault="004B4D9D" w:rsidP="00C42938">
      <w:pPr>
        <w:spacing w:after="0" w:line="276" w:lineRule="auto"/>
        <w:rPr>
          <w:rFonts w:cs="Open Sans"/>
        </w:rPr>
      </w:pPr>
    </w:p>
    <w:sectPr w:rsidR="004B4D9D" w:rsidRPr="007D22BC" w:rsidSect="00442200">
      <w:footerReference w:type="default" r:id="rId11"/>
      <w:pgSz w:w="11905" w:h="16837"/>
      <w:pgMar w:top="1418" w:right="1415" w:bottom="1418" w:left="20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E5794" w14:textId="77777777" w:rsidR="00203C86" w:rsidRDefault="00203C86" w:rsidP="00FF7C24">
      <w:pPr>
        <w:spacing w:after="0" w:line="240" w:lineRule="auto"/>
      </w:pPr>
      <w:r>
        <w:separator/>
      </w:r>
    </w:p>
  </w:endnote>
  <w:endnote w:type="continuationSeparator" w:id="0">
    <w:p w14:paraId="5FC36AB1" w14:textId="77777777" w:rsidR="00203C86" w:rsidRDefault="00203C86"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440642"/>
      <w:docPartObj>
        <w:docPartGallery w:val="Page Numbers (Bottom of Page)"/>
        <w:docPartUnique/>
      </w:docPartObj>
    </w:sdtPr>
    <w:sdtEndPr/>
    <w:sdtContent>
      <w:p w14:paraId="4C15E88D" w14:textId="00AE4437" w:rsidR="0062320F" w:rsidRDefault="0062320F">
        <w:pPr>
          <w:pStyle w:val="Stopka"/>
          <w:jc w:val="right"/>
        </w:pPr>
        <w:r>
          <w:fldChar w:fldCharType="begin"/>
        </w:r>
        <w:r>
          <w:instrText>PAGE   \* MERGEFORMAT</w:instrText>
        </w:r>
        <w:r>
          <w:fldChar w:fldCharType="separate"/>
        </w:r>
        <w:r w:rsidR="00C94AA8">
          <w:rPr>
            <w:noProof/>
          </w:rPr>
          <w:t>19</w:t>
        </w:r>
        <w:r>
          <w:rPr>
            <w:noProof/>
          </w:rPr>
          <w:fldChar w:fldCharType="end"/>
        </w:r>
      </w:p>
    </w:sdtContent>
  </w:sdt>
  <w:p w14:paraId="7F8736D8" w14:textId="77777777" w:rsidR="0062320F" w:rsidRDefault="006232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674DD" w14:textId="77777777" w:rsidR="00203C86" w:rsidRDefault="00203C86" w:rsidP="00FF7C24">
      <w:pPr>
        <w:spacing w:after="0" w:line="240" w:lineRule="auto"/>
      </w:pPr>
      <w:r>
        <w:separator/>
      </w:r>
    </w:p>
  </w:footnote>
  <w:footnote w:type="continuationSeparator" w:id="0">
    <w:p w14:paraId="75CAFE1E" w14:textId="77777777" w:rsidR="00203C86" w:rsidRDefault="00203C86"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0000001D"/>
    <w:name w:val="WW8Num29"/>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82680C"/>
    <w:multiLevelType w:val="hybridMultilevel"/>
    <w:tmpl w:val="15F6D0DA"/>
    <w:lvl w:ilvl="0" w:tplc="FBE29F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3F386F"/>
    <w:multiLevelType w:val="hybridMultilevel"/>
    <w:tmpl w:val="68A869E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15:restartNumberingAfterBreak="0">
    <w:nsid w:val="0541449C"/>
    <w:multiLevelType w:val="hybridMultilevel"/>
    <w:tmpl w:val="393651F2"/>
    <w:lvl w:ilvl="0" w:tplc="0415000F">
      <w:start w:val="1"/>
      <w:numFmt w:val="decimal"/>
      <w:lvlText w:val="%1."/>
      <w:lvlJc w:val="left"/>
      <w:pPr>
        <w:tabs>
          <w:tab w:val="num" w:pos="567"/>
        </w:tabs>
        <w:ind w:left="567" w:hanging="567"/>
      </w:pPr>
      <w:rPr>
        <w:b/>
      </w:rPr>
    </w:lvl>
    <w:lvl w:ilvl="1" w:tplc="27C4F6FA">
      <w:start w:val="1"/>
      <w:numFmt w:val="lowerLetter"/>
      <w:lvlText w:val="%2)"/>
      <w:lvlJc w:val="left"/>
      <w:pPr>
        <w:tabs>
          <w:tab w:val="num" w:pos="720"/>
        </w:tabs>
        <w:ind w:left="720" w:hanging="363"/>
      </w:pPr>
      <w:rPr>
        <w:rFonts w:hint="default"/>
        <w:b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6"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7" w15:restartNumberingAfterBreak="0">
    <w:nsid w:val="0BD76A68"/>
    <w:multiLevelType w:val="hybridMultilevel"/>
    <w:tmpl w:val="E2348F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5953C3"/>
    <w:multiLevelType w:val="hybridMultilevel"/>
    <w:tmpl w:val="DD606A60"/>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1276636D"/>
    <w:multiLevelType w:val="hybridMultilevel"/>
    <w:tmpl w:val="D49A9E4C"/>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384FC3"/>
    <w:multiLevelType w:val="hybridMultilevel"/>
    <w:tmpl w:val="A1723720"/>
    <w:lvl w:ilvl="0" w:tplc="04150011">
      <w:start w:val="1"/>
      <w:numFmt w:val="decimal"/>
      <w:lvlText w:val="%1)"/>
      <w:lvlJc w:val="left"/>
      <w:pPr>
        <w:ind w:left="5464" w:hanging="360"/>
      </w:pPr>
      <w:rPr>
        <w:rFonts w:hint="default"/>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1" w15:restartNumberingAfterBreak="0">
    <w:nsid w:val="19626DE0"/>
    <w:multiLevelType w:val="hybridMultilevel"/>
    <w:tmpl w:val="0E88CE3C"/>
    <w:lvl w:ilvl="0" w:tplc="09D6DC08">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03B2341"/>
    <w:multiLevelType w:val="hybridMultilevel"/>
    <w:tmpl w:val="B282AFDA"/>
    <w:lvl w:ilvl="0" w:tplc="04150013">
      <w:start w:val="1"/>
      <w:numFmt w:val="upperRoman"/>
      <w:lvlText w:val="%1."/>
      <w:lvlJc w:val="right"/>
      <w:pPr>
        <w:ind w:left="360" w:hanging="360"/>
      </w:pPr>
      <w:rPr>
        <w:rFonts w:hint="default"/>
        <w:b/>
      </w:rPr>
    </w:lvl>
    <w:lvl w:ilvl="1" w:tplc="0415000F">
      <w:start w:val="1"/>
      <w:numFmt w:val="decimal"/>
      <w:lvlText w:val="%2."/>
      <w:lvlJc w:val="left"/>
      <w:pPr>
        <w:ind w:left="1440" w:hanging="360"/>
      </w:pPr>
    </w:lvl>
    <w:lvl w:ilvl="2" w:tplc="CDB8A7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76CBC"/>
    <w:multiLevelType w:val="hybridMultilevel"/>
    <w:tmpl w:val="76D8DB0C"/>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A336F6"/>
    <w:multiLevelType w:val="hybridMultilevel"/>
    <w:tmpl w:val="B63CA896"/>
    <w:lvl w:ilvl="0" w:tplc="128E469A">
      <w:start w:val="1"/>
      <w:numFmt w:val="lowerLetter"/>
      <w:lvlText w:val="%1)"/>
      <w:lvlJc w:val="left"/>
      <w:pPr>
        <w:ind w:left="720" w:hanging="360"/>
      </w:pPr>
      <w:rPr>
        <w:rFonts w:ascii="Times New Roman" w:eastAsia="Times New Roman" w:hAnsi="Times New Roman" w:cs="Times New Roman"/>
        <w:b w:val="0"/>
      </w:rPr>
    </w:lvl>
    <w:lvl w:ilvl="1" w:tplc="742E7126">
      <w:start w:val="1"/>
      <w:numFmt w:val="lowerLetter"/>
      <w:lvlText w:val="%2)"/>
      <w:lvlJc w:val="left"/>
      <w:pPr>
        <w:ind w:left="1440" w:hanging="360"/>
      </w:pPr>
    </w:lvl>
    <w:lvl w:ilvl="2" w:tplc="D402EDD0">
      <w:start w:val="4"/>
      <w:numFmt w:val="bullet"/>
      <w:lvlText w:val="–"/>
      <w:lvlJc w:val="left"/>
      <w:pPr>
        <w:ind w:left="2340" w:hanging="360"/>
      </w:pPr>
      <w:rPr>
        <w:rFonts w:ascii="Arial Narrow" w:eastAsia="Times New Roman" w:hAnsi="Arial Narrow" w:cs="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D067040"/>
    <w:multiLevelType w:val="hybridMultilevel"/>
    <w:tmpl w:val="18B07722"/>
    <w:lvl w:ilvl="0" w:tplc="CC6257DE">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6D7BA8"/>
    <w:multiLevelType w:val="hybridMultilevel"/>
    <w:tmpl w:val="63CE5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7B1249"/>
    <w:multiLevelType w:val="hybridMultilevel"/>
    <w:tmpl w:val="72EA107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32F64766"/>
    <w:multiLevelType w:val="multilevel"/>
    <w:tmpl w:val="11C65C8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4C94219"/>
    <w:multiLevelType w:val="hybridMultilevel"/>
    <w:tmpl w:val="00EE0EE2"/>
    <w:lvl w:ilvl="0" w:tplc="7870FAA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7503B81"/>
    <w:multiLevelType w:val="hybridMultilevel"/>
    <w:tmpl w:val="52E0CA92"/>
    <w:lvl w:ilvl="0" w:tplc="06C88F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9E56F4"/>
    <w:multiLevelType w:val="hybridMultilevel"/>
    <w:tmpl w:val="354ACF04"/>
    <w:lvl w:ilvl="0" w:tplc="27C4F6FA">
      <w:start w:val="1"/>
      <w:numFmt w:val="lowerLetter"/>
      <w:lvlText w:val="%1)"/>
      <w:lvlJc w:val="left"/>
      <w:pPr>
        <w:tabs>
          <w:tab w:val="num" w:pos="720"/>
        </w:tabs>
        <w:ind w:left="720" w:hanging="363"/>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F2317C"/>
    <w:multiLevelType w:val="hybridMultilevel"/>
    <w:tmpl w:val="5CFA391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C356D13"/>
    <w:multiLevelType w:val="hybridMultilevel"/>
    <w:tmpl w:val="97A0683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14B0B3B"/>
    <w:multiLevelType w:val="hybridMultilevel"/>
    <w:tmpl w:val="F67EEAB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1BB5F6B"/>
    <w:multiLevelType w:val="hybridMultilevel"/>
    <w:tmpl w:val="88162D8E"/>
    <w:lvl w:ilvl="0" w:tplc="8FA4285C">
      <w:start w:val="1"/>
      <w:numFmt w:val="upperRoman"/>
      <w:lvlText w:val="%1."/>
      <w:lvlJc w:val="right"/>
      <w:pPr>
        <w:ind w:left="720" w:hanging="360"/>
      </w:pPr>
      <w:rPr>
        <w:b/>
      </w:rPr>
    </w:lvl>
    <w:lvl w:ilvl="1" w:tplc="0415000F">
      <w:start w:val="1"/>
      <w:numFmt w:val="decimal"/>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CD0504"/>
    <w:multiLevelType w:val="multilevel"/>
    <w:tmpl w:val="6EC4E7BC"/>
    <w:lvl w:ilvl="0">
      <w:start w:val="1"/>
      <w:numFmt w:val="lowerLetter"/>
      <w:lvlText w:val="%1)"/>
      <w:lvlJc w:val="left"/>
      <w:pPr>
        <w:ind w:left="1364" w:hanging="360"/>
      </w:pPr>
      <w:rPr>
        <w:rFonts w:cs="Times New Roman" w:hint="default"/>
        <w:b/>
        <w:bCs/>
      </w:rPr>
    </w:lvl>
    <w:lvl w:ilvl="1">
      <w:start w:val="1"/>
      <w:numFmt w:val="bullet"/>
      <w:lvlText w:val=""/>
      <w:lvlJc w:val="left"/>
      <w:pPr>
        <w:tabs>
          <w:tab w:val="num" w:pos="2084"/>
        </w:tabs>
        <w:ind w:left="2084" w:hanging="360"/>
      </w:pPr>
      <w:rPr>
        <w:rFonts w:ascii="Symbol" w:hAnsi="Symbol" w:hint="default"/>
        <w:b/>
      </w:rPr>
    </w:lvl>
    <w:lvl w:ilvl="2">
      <w:start w:val="1"/>
      <w:numFmt w:val="decimal"/>
      <w:lvlText w:val="%3."/>
      <w:lvlJc w:val="left"/>
      <w:pPr>
        <w:ind w:left="2984" w:hanging="360"/>
      </w:pPr>
      <w:rPr>
        <w:rFonts w:cs="Times New Roman" w:hint="default"/>
      </w:rPr>
    </w:lvl>
    <w:lvl w:ilvl="3">
      <w:start w:val="1"/>
      <w:numFmt w:val="decimal"/>
      <w:lvlText w:val="%4."/>
      <w:lvlJc w:val="left"/>
      <w:pPr>
        <w:ind w:left="3524" w:hanging="360"/>
      </w:pPr>
      <w:rPr>
        <w:rFonts w:cs="Times New Roman" w:hint="default"/>
      </w:rPr>
    </w:lvl>
    <w:lvl w:ilvl="4">
      <w:start w:val="1"/>
      <w:numFmt w:val="decimal"/>
      <w:lvlText w:val="%5)"/>
      <w:lvlJc w:val="left"/>
      <w:pPr>
        <w:ind w:left="4244" w:hanging="360"/>
      </w:pPr>
      <w:rPr>
        <w:rFonts w:hint="default"/>
      </w:rPr>
    </w:lvl>
    <w:lvl w:ilvl="5">
      <w:start w:val="1"/>
      <w:numFmt w:val="lowerRoman"/>
      <w:lvlText w:val="%6."/>
      <w:lvlJc w:val="right"/>
      <w:pPr>
        <w:ind w:left="4964" w:hanging="180"/>
      </w:pPr>
      <w:rPr>
        <w:rFonts w:cs="Times New Roman" w:hint="default"/>
      </w:rPr>
    </w:lvl>
    <w:lvl w:ilvl="6">
      <w:start w:val="1"/>
      <w:numFmt w:val="decimal"/>
      <w:lvlText w:val="%7."/>
      <w:lvlJc w:val="left"/>
      <w:pPr>
        <w:ind w:left="5684" w:hanging="360"/>
      </w:pPr>
      <w:rPr>
        <w:rFonts w:cs="Times New Roman" w:hint="default"/>
      </w:rPr>
    </w:lvl>
    <w:lvl w:ilvl="7">
      <w:start w:val="1"/>
      <w:numFmt w:val="lowerLetter"/>
      <w:lvlText w:val="%8."/>
      <w:lvlJc w:val="left"/>
      <w:pPr>
        <w:ind w:left="6404" w:hanging="360"/>
      </w:pPr>
      <w:rPr>
        <w:rFonts w:cs="Times New Roman" w:hint="default"/>
      </w:rPr>
    </w:lvl>
    <w:lvl w:ilvl="8">
      <w:start w:val="1"/>
      <w:numFmt w:val="lowerRoman"/>
      <w:lvlText w:val="%9."/>
      <w:lvlJc w:val="right"/>
      <w:pPr>
        <w:ind w:left="7124" w:hanging="180"/>
      </w:pPr>
      <w:rPr>
        <w:rFonts w:cs="Times New Roman" w:hint="default"/>
      </w:r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1D610E"/>
    <w:multiLevelType w:val="hybridMultilevel"/>
    <w:tmpl w:val="FFE47C6A"/>
    <w:lvl w:ilvl="0" w:tplc="0415000F">
      <w:start w:val="1"/>
      <w:numFmt w:val="decimal"/>
      <w:lvlText w:val="%1."/>
      <w:lvlJc w:val="left"/>
      <w:pPr>
        <w:ind w:left="1069"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37E498A"/>
    <w:multiLevelType w:val="multilevel"/>
    <w:tmpl w:val="807EF4EC"/>
    <w:lvl w:ilvl="0">
      <w:start w:val="1"/>
      <w:numFmt w:val="decimal"/>
      <w:lvlText w:val="%1."/>
      <w:lvlJc w:val="left"/>
      <w:pPr>
        <w:ind w:left="710" w:firstLine="0"/>
      </w:pPr>
      <w:rPr>
        <w:rFonts w:asciiTheme="minorHAnsi" w:eastAsia="Calibri" w:hAnsiTheme="minorHAnsi" w:cs="Open Sans"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33" w15:restartNumberingAfterBreak="0">
    <w:nsid w:val="55BA10F5"/>
    <w:multiLevelType w:val="hybridMultilevel"/>
    <w:tmpl w:val="552E514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561A6E0D"/>
    <w:multiLevelType w:val="hybridMultilevel"/>
    <w:tmpl w:val="14D45352"/>
    <w:lvl w:ilvl="0" w:tplc="D5D4A5EA">
      <w:start w:val="1"/>
      <w:numFmt w:val="lowerLetter"/>
      <w:lvlText w:val="%1."/>
      <w:lvlJc w:val="left"/>
      <w:pPr>
        <w:ind w:left="1440" w:hanging="360"/>
      </w:pPr>
      <w:rPr>
        <w:rFonts w:ascii="Calibri" w:hAnsi="Calibri" w:cs="Times New Roman" w:hint="default"/>
      </w:rPr>
    </w:lvl>
    <w:lvl w:ilvl="1" w:tplc="04150019">
      <w:start w:val="1"/>
      <w:numFmt w:val="lowerLetter"/>
      <w:lvlText w:val="%2."/>
      <w:lvlJc w:val="left"/>
      <w:pPr>
        <w:ind w:left="2160" w:hanging="360"/>
      </w:pPr>
    </w:lvl>
    <w:lvl w:ilvl="2" w:tplc="ECD2CFCA">
      <w:start w:val="7"/>
      <w:numFmt w:val="upperRoman"/>
      <w:lvlText w:val="%3."/>
      <w:lvlJc w:val="left"/>
      <w:pPr>
        <w:ind w:left="3420" w:hanging="720"/>
      </w:pPr>
      <w:rPr>
        <w:rFonts w:ascii="Calibri" w:hAnsi="Calibri" w:cs="Times New Roman" w:hint="default"/>
      </w:rPr>
    </w:lvl>
    <w:lvl w:ilvl="3" w:tplc="FB0EE2D6">
      <w:start w:val="1"/>
      <w:numFmt w:val="decimal"/>
      <w:lvlText w:val="%4."/>
      <w:lvlJc w:val="left"/>
      <w:pPr>
        <w:ind w:left="360" w:hanging="360"/>
      </w:pPr>
      <w:rPr>
        <w:rFonts w:ascii="Calibri" w:eastAsia="Times New Roman" w:hAnsi="Calibri" w:cs="Calibri"/>
        <w:b w:val="0"/>
      </w:rPr>
    </w:lvl>
    <w:lvl w:ilvl="4" w:tplc="B8B0BCE6">
      <w:start w:val="1"/>
      <w:numFmt w:val="lowerLetter"/>
      <w:lvlText w:val="%5)"/>
      <w:lvlJc w:val="left"/>
      <w:pPr>
        <w:ind w:left="360" w:hanging="360"/>
      </w:pPr>
      <w:rPr>
        <w:rFonts w:hint="default"/>
      </w:rPr>
    </w:lvl>
    <w:lvl w:ilvl="5" w:tplc="04150001">
      <w:start w:val="1"/>
      <w:numFmt w:val="bullet"/>
      <w:lvlText w:val=""/>
      <w:lvlJc w:val="left"/>
      <w:pPr>
        <w:ind w:left="5220" w:hanging="360"/>
      </w:pPr>
      <w:rPr>
        <w:rFonts w:ascii="Symbol" w:hAnsi="Symbol"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68D3A26"/>
    <w:multiLevelType w:val="hybridMultilevel"/>
    <w:tmpl w:val="703E8C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145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CD460B"/>
    <w:multiLevelType w:val="hybridMultilevel"/>
    <w:tmpl w:val="FEFA5C0A"/>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8544863"/>
    <w:multiLevelType w:val="hybridMultilevel"/>
    <w:tmpl w:val="C632091A"/>
    <w:lvl w:ilvl="0" w:tplc="04150001">
      <w:start w:val="1"/>
      <w:numFmt w:val="bullet"/>
      <w:lvlText w:val=""/>
      <w:lvlJc w:val="left"/>
      <w:pPr>
        <w:tabs>
          <w:tab w:val="num" w:pos="567"/>
        </w:tabs>
        <w:ind w:left="567" w:hanging="567"/>
      </w:pPr>
      <w:rPr>
        <w:rFonts w:ascii="Symbol" w:hAnsi="Symbol" w:hint="default"/>
        <w:b/>
      </w:rPr>
    </w:lvl>
    <w:lvl w:ilvl="1" w:tplc="04150001">
      <w:start w:val="1"/>
      <w:numFmt w:val="bullet"/>
      <w:lvlText w:val=""/>
      <w:lvlJc w:val="left"/>
      <w:pPr>
        <w:tabs>
          <w:tab w:val="num" w:pos="720"/>
        </w:tabs>
        <w:ind w:left="720" w:hanging="363"/>
      </w:pPr>
      <w:rPr>
        <w:rFonts w:ascii="Symbol" w:hAnsi="Symbol" w:hint="default"/>
        <w:b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9AB4C47"/>
    <w:multiLevelType w:val="hybridMultilevel"/>
    <w:tmpl w:val="294CBF0E"/>
    <w:lvl w:ilvl="0" w:tplc="755A97DA">
      <w:start w:val="2"/>
      <w:numFmt w:val="decimal"/>
      <w:lvlText w:val="%1."/>
      <w:lvlJc w:val="left"/>
      <w:pPr>
        <w:ind w:left="1070"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5DB8279D"/>
    <w:multiLevelType w:val="hybridMultilevel"/>
    <w:tmpl w:val="FA08B8A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40147FC"/>
    <w:multiLevelType w:val="hybridMultilevel"/>
    <w:tmpl w:val="A136472E"/>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42" w15:restartNumberingAfterBreak="0">
    <w:nsid w:val="68CF2841"/>
    <w:multiLevelType w:val="hybridMultilevel"/>
    <w:tmpl w:val="A800BC18"/>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A6A32D4"/>
    <w:multiLevelType w:val="hybridMultilevel"/>
    <w:tmpl w:val="7F80D566"/>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4" w15:restartNumberingAfterBreak="0">
    <w:nsid w:val="6B97494E"/>
    <w:multiLevelType w:val="hybridMultilevel"/>
    <w:tmpl w:val="D7EAAED8"/>
    <w:lvl w:ilvl="0" w:tplc="04150011">
      <w:start w:val="1"/>
      <w:numFmt w:val="decimal"/>
      <w:lvlText w:val="%1)"/>
      <w:lvlJc w:val="left"/>
      <w:pPr>
        <w:ind w:left="5464" w:hanging="360"/>
      </w:pPr>
      <w:rPr>
        <w:rFonts w:hint="default"/>
      </w:rPr>
    </w:lvl>
    <w:lvl w:ilvl="1" w:tplc="04150017">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45" w15:restartNumberingAfterBreak="0">
    <w:nsid w:val="6F91575F"/>
    <w:multiLevelType w:val="hybridMultilevel"/>
    <w:tmpl w:val="51FA4F0E"/>
    <w:lvl w:ilvl="0" w:tplc="799A8922">
      <w:start w:val="1"/>
      <w:numFmt w:val="decimal"/>
      <w:lvlText w:val="%1)"/>
      <w:lvlJc w:val="left"/>
      <w:pPr>
        <w:ind w:left="1368" w:hanging="360"/>
      </w:pPr>
      <w:rPr>
        <w:rFonts w:hint="default"/>
        <w:b w:val="0"/>
      </w:rPr>
    </w:lvl>
    <w:lvl w:ilvl="1" w:tplc="04150017">
      <w:start w:val="1"/>
      <w:numFmt w:val="lowerLetter"/>
      <w:lvlText w:val="%2)"/>
      <w:lvlJc w:val="left"/>
      <w:pPr>
        <w:ind w:left="1495"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46" w15:restartNumberingAfterBreak="0">
    <w:nsid w:val="70EC6927"/>
    <w:multiLevelType w:val="hybridMultilevel"/>
    <w:tmpl w:val="57BC41C2"/>
    <w:lvl w:ilvl="0" w:tplc="240426A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CEF2EB0"/>
    <w:multiLevelType w:val="hybridMultilevel"/>
    <w:tmpl w:val="E9C0F3FA"/>
    <w:lvl w:ilvl="0" w:tplc="530092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823C38"/>
    <w:multiLevelType w:val="hybridMultilevel"/>
    <w:tmpl w:val="DB7CC926"/>
    <w:lvl w:ilvl="0" w:tplc="04150001">
      <w:start w:val="1"/>
      <w:numFmt w:val="bullet"/>
      <w:lvlText w:val=""/>
      <w:lvlJc w:val="left"/>
      <w:pPr>
        <w:ind w:left="1794" w:hanging="360"/>
      </w:pPr>
      <w:rPr>
        <w:rFonts w:ascii="Symbol" w:hAnsi="Symbol" w:hint="default"/>
      </w:rPr>
    </w:lvl>
    <w:lvl w:ilvl="1" w:tplc="04150003">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49" w15:restartNumberingAfterBreak="0">
    <w:nsid w:val="7D853865"/>
    <w:multiLevelType w:val="multilevel"/>
    <w:tmpl w:val="A7561B9E"/>
    <w:lvl w:ilvl="0">
      <w:start w:val="1"/>
      <w:numFmt w:val="decimal"/>
      <w:lvlText w:val="%1."/>
      <w:lvlJc w:val="left"/>
      <w:pPr>
        <w:ind w:left="1287" w:hanging="360"/>
      </w:pPr>
      <w:rPr>
        <w:rFonts w:asciiTheme="minorHAnsi" w:hAnsiTheme="minorHAnsi" w:cs="Open Sans" w:hint="default"/>
        <w:b w:val="0"/>
        <w:i w:val="0"/>
        <w:strike w:val="0"/>
        <w:sz w:val="22"/>
        <w:szCs w:val="22"/>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0" w15:restartNumberingAfterBreak="0">
    <w:nsid w:val="7DF867FC"/>
    <w:multiLevelType w:val="hybridMultilevel"/>
    <w:tmpl w:val="1A7A2A22"/>
    <w:lvl w:ilvl="0" w:tplc="0CD25458">
      <w:start w:val="1"/>
      <w:numFmt w:val="lowerLetter"/>
      <w:lvlText w:val="%1)"/>
      <w:lvlJc w:val="left"/>
      <w:pPr>
        <w:ind w:left="2492" w:hanging="360"/>
      </w:pPr>
      <w:rPr>
        <w:rFonts w:hint="default"/>
      </w:rPr>
    </w:lvl>
    <w:lvl w:ilvl="1" w:tplc="04150019">
      <w:start w:val="1"/>
      <w:numFmt w:val="lowerLetter"/>
      <w:lvlText w:val="%2."/>
      <w:lvlJc w:val="left"/>
      <w:pPr>
        <w:ind w:left="3212" w:hanging="360"/>
      </w:pPr>
    </w:lvl>
    <w:lvl w:ilvl="2" w:tplc="0415001B" w:tentative="1">
      <w:start w:val="1"/>
      <w:numFmt w:val="lowerRoman"/>
      <w:lvlText w:val="%3."/>
      <w:lvlJc w:val="right"/>
      <w:pPr>
        <w:ind w:left="3932" w:hanging="180"/>
      </w:pPr>
    </w:lvl>
    <w:lvl w:ilvl="3" w:tplc="0415000F" w:tentative="1">
      <w:start w:val="1"/>
      <w:numFmt w:val="decimal"/>
      <w:lvlText w:val="%4."/>
      <w:lvlJc w:val="left"/>
      <w:pPr>
        <w:ind w:left="4652" w:hanging="360"/>
      </w:pPr>
    </w:lvl>
    <w:lvl w:ilvl="4" w:tplc="04150019" w:tentative="1">
      <w:start w:val="1"/>
      <w:numFmt w:val="lowerLetter"/>
      <w:lvlText w:val="%5."/>
      <w:lvlJc w:val="left"/>
      <w:pPr>
        <w:ind w:left="5372" w:hanging="360"/>
      </w:pPr>
    </w:lvl>
    <w:lvl w:ilvl="5" w:tplc="0415001B" w:tentative="1">
      <w:start w:val="1"/>
      <w:numFmt w:val="lowerRoman"/>
      <w:lvlText w:val="%6."/>
      <w:lvlJc w:val="right"/>
      <w:pPr>
        <w:ind w:left="6092" w:hanging="180"/>
      </w:pPr>
    </w:lvl>
    <w:lvl w:ilvl="6" w:tplc="0415000F" w:tentative="1">
      <w:start w:val="1"/>
      <w:numFmt w:val="decimal"/>
      <w:lvlText w:val="%7."/>
      <w:lvlJc w:val="left"/>
      <w:pPr>
        <w:ind w:left="6812" w:hanging="360"/>
      </w:pPr>
    </w:lvl>
    <w:lvl w:ilvl="7" w:tplc="04150019" w:tentative="1">
      <w:start w:val="1"/>
      <w:numFmt w:val="lowerLetter"/>
      <w:lvlText w:val="%8."/>
      <w:lvlJc w:val="left"/>
      <w:pPr>
        <w:ind w:left="7532" w:hanging="360"/>
      </w:pPr>
    </w:lvl>
    <w:lvl w:ilvl="8" w:tplc="0415001B" w:tentative="1">
      <w:start w:val="1"/>
      <w:numFmt w:val="lowerRoman"/>
      <w:lvlText w:val="%9."/>
      <w:lvlJc w:val="right"/>
      <w:pPr>
        <w:ind w:left="8252" w:hanging="180"/>
      </w:pPr>
    </w:lvl>
  </w:abstractNum>
  <w:abstractNum w:abstractNumId="51" w15:restartNumberingAfterBreak="0">
    <w:nsid w:val="7F4605D8"/>
    <w:multiLevelType w:val="hybridMultilevel"/>
    <w:tmpl w:val="0AE669B6"/>
    <w:lvl w:ilvl="0" w:tplc="D56E8F40">
      <w:start w:val="1"/>
      <w:numFmt w:val="decimal"/>
      <w:lvlText w:val="%1."/>
      <w:lvlJc w:val="left"/>
      <w:pPr>
        <w:tabs>
          <w:tab w:val="num" w:pos="1107"/>
        </w:tabs>
        <w:ind w:left="1107" w:hanging="397"/>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8"/>
  </w:num>
  <w:num w:numId="3">
    <w:abstractNumId w:val="46"/>
  </w:num>
  <w:num w:numId="4">
    <w:abstractNumId w:val="2"/>
  </w:num>
  <w:num w:numId="5">
    <w:abstractNumId w:val="41"/>
  </w:num>
  <w:num w:numId="6">
    <w:abstractNumId w:val="13"/>
  </w:num>
  <w:num w:numId="7">
    <w:abstractNumId w:val="49"/>
  </w:num>
  <w:num w:numId="8">
    <w:abstractNumId w:val="45"/>
  </w:num>
  <w:num w:numId="9">
    <w:abstractNumId w:val="10"/>
  </w:num>
  <w:num w:numId="10">
    <w:abstractNumId w:val="50"/>
  </w:num>
  <w:num w:numId="11">
    <w:abstractNumId w:val="44"/>
  </w:num>
  <w:num w:numId="12">
    <w:abstractNumId w:val="31"/>
  </w:num>
  <w:num w:numId="13">
    <w:abstractNumId w:val="51"/>
  </w:num>
  <w:num w:numId="14">
    <w:abstractNumId w:val="8"/>
  </w:num>
  <w:num w:numId="15">
    <w:abstractNumId w:val="11"/>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6"/>
  </w:num>
  <w:num w:numId="19">
    <w:abstractNumId w:val="38"/>
  </w:num>
  <w:num w:numId="20">
    <w:abstractNumId w:val="17"/>
  </w:num>
  <w:num w:numId="21">
    <w:abstractNumId w:val="30"/>
  </w:num>
  <w:num w:numId="22">
    <w:abstractNumId w:val="15"/>
  </w:num>
  <w:num w:numId="23">
    <w:abstractNumId w:val="12"/>
  </w:num>
  <w:num w:numId="24">
    <w:abstractNumId w:val="21"/>
  </w:num>
  <w:num w:numId="25">
    <w:abstractNumId w:val="19"/>
  </w:num>
  <w:num w:numId="26">
    <w:abstractNumId w:val="7"/>
  </w:num>
  <w:num w:numId="27">
    <w:abstractNumId w:val="25"/>
  </w:num>
  <w:num w:numId="28">
    <w:abstractNumId w:val="42"/>
  </w:num>
  <w:num w:numId="29">
    <w:abstractNumId w:val="48"/>
  </w:num>
  <w:num w:numId="30">
    <w:abstractNumId w:val="20"/>
  </w:num>
  <w:num w:numId="31">
    <w:abstractNumId w:val="29"/>
  </w:num>
  <w:num w:numId="32">
    <w:abstractNumId w:val="40"/>
  </w:num>
  <w:num w:numId="33">
    <w:abstractNumId w:val="4"/>
  </w:num>
  <w:num w:numId="34">
    <w:abstractNumId w:val="9"/>
  </w:num>
  <w:num w:numId="35">
    <w:abstractNumId w:val="47"/>
  </w:num>
  <w:num w:numId="36">
    <w:abstractNumId w:val="27"/>
  </w:num>
  <w:num w:numId="37">
    <w:abstractNumId w:val="34"/>
  </w:num>
  <w:num w:numId="38">
    <w:abstractNumId w:val="16"/>
  </w:num>
  <w:num w:numId="39">
    <w:abstractNumId w:val="36"/>
  </w:num>
  <w:num w:numId="40">
    <w:abstractNumId w:val="22"/>
  </w:num>
  <w:num w:numId="41">
    <w:abstractNumId w:val="23"/>
  </w:num>
  <w:num w:numId="42">
    <w:abstractNumId w:val="37"/>
  </w:num>
  <w:num w:numId="43">
    <w:abstractNumId w:val="18"/>
  </w:num>
  <w:num w:numId="44">
    <w:abstractNumId w:val="24"/>
  </w:num>
  <w:num w:numId="45">
    <w:abstractNumId w:val="35"/>
  </w:num>
  <w:num w:numId="46">
    <w:abstractNumId w:val="26"/>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39"/>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2"/>
    <w:rsid w:val="00000A50"/>
    <w:rsid w:val="00005465"/>
    <w:rsid w:val="00006F51"/>
    <w:rsid w:val="00007314"/>
    <w:rsid w:val="00013A1D"/>
    <w:rsid w:val="00015596"/>
    <w:rsid w:val="00021153"/>
    <w:rsid w:val="0002288C"/>
    <w:rsid w:val="00027A0C"/>
    <w:rsid w:val="0003798D"/>
    <w:rsid w:val="000418FA"/>
    <w:rsid w:val="00051085"/>
    <w:rsid w:val="00051DE5"/>
    <w:rsid w:val="00055327"/>
    <w:rsid w:val="00056504"/>
    <w:rsid w:val="00057C54"/>
    <w:rsid w:val="000604FC"/>
    <w:rsid w:val="0006533C"/>
    <w:rsid w:val="000672C5"/>
    <w:rsid w:val="00071160"/>
    <w:rsid w:val="00072F2B"/>
    <w:rsid w:val="00075DB1"/>
    <w:rsid w:val="00080681"/>
    <w:rsid w:val="00090DD9"/>
    <w:rsid w:val="00090E61"/>
    <w:rsid w:val="00094843"/>
    <w:rsid w:val="00096FB0"/>
    <w:rsid w:val="00097256"/>
    <w:rsid w:val="000A695C"/>
    <w:rsid w:val="000B5155"/>
    <w:rsid w:val="000B572E"/>
    <w:rsid w:val="000B6DA9"/>
    <w:rsid w:val="000B7108"/>
    <w:rsid w:val="000C648D"/>
    <w:rsid w:val="000D026D"/>
    <w:rsid w:val="000D4E0E"/>
    <w:rsid w:val="000F2D73"/>
    <w:rsid w:val="000F37C5"/>
    <w:rsid w:val="00100CD9"/>
    <w:rsid w:val="00122804"/>
    <w:rsid w:val="001251E8"/>
    <w:rsid w:val="00132504"/>
    <w:rsid w:val="00132A2F"/>
    <w:rsid w:val="00136954"/>
    <w:rsid w:val="00136C18"/>
    <w:rsid w:val="00137F59"/>
    <w:rsid w:val="00145D47"/>
    <w:rsid w:val="00151BAE"/>
    <w:rsid w:val="00167499"/>
    <w:rsid w:val="0017538C"/>
    <w:rsid w:val="00185A40"/>
    <w:rsid w:val="001917A3"/>
    <w:rsid w:val="00196705"/>
    <w:rsid w:val="001B16D1"/>
    <w:rsid w:val="001C3318"/>
    <w:rsid w:val="001D335B"/>
    <w:rsid w:val="001D6A98"/>
    <w:rsid w:val="001E512C"/>
    <w:rsid w:val="001F60FE"/>
    <w:rsid w:val="00200E91"/>
    <w:rsid w:val="00203C86"/>
    <w:rsid w:val="002041AA"/>
    <w:rsid w:val="00204CF9"/>
    <w:rsid w:val="00215057"/>
    <w:rsid w:val="00220C77"/>
    <w:rsid w:val="00230408"/>
    <w:rsid w:val="0023150A"/>
    <w:rsid w:val="00236540"/>
    <w:rsid w:val="00240BB6"/>
    <w:rsid w:val="0024209F"/>
    <w:rsid w:val="002519E9"/>
    <w:rsid w:val="00252012"/>
    <w:rsid w:val="00254946"/>
    <w:rsid w:val="00255FA9"/>
    <w:rsid w:val="002560C5"/>
    <w:rsid w:val="00264DB0"/>
    <w:rsid w:val="00266EA8"/>
    <w:rsid w:val="0027036D"/>
    <w:rsid w:val="00274766"/>
    <w:rsid w:val="002760E1"/>
    <w:rsid w:val="00282150"/>
    <w:rsid w:val="00286A8E"/>
    <w:rsid w:val="00290289"/>
    <w:rsid w:val="00291284"/>
    <w:rsid w:val="00292217"/>
    <w:rsid w:val="002A760A"/>
    <w:rsid w:val="002B1EED"/>
    <w:rsid w:val="002B7E38"/>
    <w:rsid w:val="002D21E8"/>
    <w:rsid w:val="002D3015"/>
    <w:rsid w:val="002D561F"/>
    <w:rsid w:val="002E14E2"/>
    <w:rsid w:val="002E1D24"/>
    <w:rsid w:val="002F2067"/>
    <w:rsid w:val="002F248D"/>
    <w:rsid w:val="002F539E"/>
    <w:rsid w:val="0030029B"/>
    <w:rsid w:val="00312443"/>
    <w:rsid w:val="00314927"/>
    <w:rsid w:val="00321694"/>
    <w:rsid w:val="00330EC1"/>
    <w:rsid w:val="0034231F"/>
    <w:rsid w:val="00343417"/>
    <w:rsid w:val="00365293"/>
    <w:rsid w:val="003743ED"/>
    <w:rsid w:val="00374735"/>
    <w:rsid w:val="00380CCC"/>
    <w:rsid w:val="00382A2F"/>
    <w:rsid w:val="00394F3D"/>
    <w:rsid w:val="00397FB0"/>
    <w:rsid w:val="003A4332"/>
    <w:rsid w:val="003B1D66"/>
    <w:rsid w:val="003B5441"/>
    <w:rsid w:val="003C097B"/>
    <w:rsid w:val="003D368D"/>
    <w:rsid w:val="003E3C56"/>
    <w:rsid w:val="003F568B"/>
    <w:rsid w:val="003F6596"/>
    <w:rsid w:val="00400872"/>
    <w:rsid w:val="00400FC5"/>
    <w:rsid w:val="00403B46"/>
    <w:rsid w:val="00412E99"/>
    <w:rsid w:val="004133B5"/>
    <w:rsid w:val="00413CC0"/>
    <w:rsid w:val="0042218E"/>
    <w:rsid w:val="00430C98"/>
    <w:rsid w:val="00430E63"/>
    <w:rsid w:val="0043400B"/>
    <w:rsid w:val="00434D72"/>
    <w:rsid w:val="00435B50"/>
    <w:rsid w:val="004407A2"/>
    <w:rsid w:val="00442200"/>
    <w:rsid w:val="00447A44"/>
    <w:rsid w:val="00451DA1"/>
    <w:rsid w:val="004520FA"/>
    <w:rsid w:val="00452E67"/>
    <w:rsid w:val="00465CD7"/>
    <w:rsid w:val="004676C7"/>
    <w:rsid w:val="00472B85"/>
    <w:rsid w:val="00485971"/>
    <w:rsid w:val="004862E1"/>
    <w:rsid w:val="004866C8"/>
    <w:rsid w:val="00487088"/>
    <w:rsid w:val="00487695"/>
    <w:rsid w:val="00492B05"/>
    <w:rsid w:val="00496BC8"/>
    <w:rsid w:val="004A12A8"/>
    <w:rsid w:val="004A28AE"/>
    <w:rsid w:val="004A31E8"/>
    <w:rsid w:val="004A5AE5"/>
    <w:rsid w:val="004B1A7B"/>
    <w:rsid w:val="004B2AFE"/>
    <w:rsid w:val="004B3990"/>
    <w:rsid w:val="004B4D9D"/>
    <w:rsid w:val="004B64F4"/>
    <w:rsid w:val="004C3EA4"/>
    <w:rsid w:val="004D43B4"/>
    <w:rsid w:val="004D6B24"/>
    <w:rsid w:val="004D7ED3"/>
    <w:rsid w:val="004F1617"/>
    <w:rsid w:val="004F5983"/>
    <w:rsid w:val="0050619A"/>
    <w:rsid w:val="005072BF"/>
    <w:rsid w:val="00512627"/>
    <w:rsid w:val="0051545B"/>
    <w:rsid w:val="00525A05"/>
    <w:rsid w:val="00525D6E"/>
    <w:rsid w:val="00530339"/>
    <w:rsid w:val="005316FC"/>
    <w:rsid w:val="005353EE"/>
    <w:rsid w:val="00540C8E"/>
    <w:rsid w:val="00547B3C"/>
    <w:rsid w:val="00553E0A"/>
    <w:rsid w:val="005600DD"/>
    <w:rsid w:val="00565D9A"/>
    <w:rsid w:val="0057133E"/>
    <w:rsid w:val="00576289"/>
    <w:rsid w:val="0058291D"/>
    <w:rsid w:val="00584F75"/>
    <w:rsid w:val="005926DB"/>
    <w:rsid w:val="005951FF"/>
    <w:rsid w:val="00595960"/>
    <w:rsid w:val="005969A7"/>
    <w:rsid w:val="005A43C0"/>
    <w:rsid w:val="005B202A"/>
    <w:rsid w:val="005B4D91"/>
    <w:rsid w:val="005B6688"/>
    <w:rsid w:val="005C5E4A"/>
    <w:rsid w:val="005D068B"/>
    <w:rsid w:val="005D5744"/>
    <w:rsid w:val="005E3AE7"/>
    <w:rsid w:val="005E41F0"/>
    <w:rsid w:val="005E6566"/>
    <w:rsid w:val="005E7C46"/>
    <w:rsid w:val="005E7DEB"/>
    <w:rsid w:val="005F4FEB"/>
    <w:rsid w:val="00601D55"/>
    <w:rsid w:val="00604156"/>
    <w:rsid w:val="00605AD2"/>
    <w:rsid w:val="00612E5C"/>
    <w:rsid w:val="00615A1D"/>
    <w:rsid w:val="0062320F"/>
    <w:rsid w:val="00630C0C"/>
    <w:rsid w:val="006404DB"/>
    <w:rsid w:val="00643774"/>
    <w:rsid w:val="0064491E"/>
    <w:rsid w:val="00647BF1"/>
    <w:rsid w:val="006552A9"/>
    <w:rsid w:val="00661BA0"/>
    <w:rsid w:val="00662BBD"/>
    <w:rsid w:val="00674B32"/>
    <w:rsid w:val="006758DD"/>
    <w:rsid w:val="00693621"/>
    <w:rsid w:val="006962E3"/>
    <w:rsid w:val="00697B8D"/>
    <w:rsid w:val="006A112B"/>
    <w:rsid w:val="006B0507"/>
    <w:rsid w:val="006B5253"/>
    <w:rsid w:val="006B70B3"/>
    <w:rsid w:val="006C0D0B"/>
    <w:rsid w:val="006E1408"/>
    <w:rsid w:val="006E4962"/>
    <w:rsid w:val="006F49EE"/>
    <w:rsid w:val="006F7299"/>
    <w:rsid w:val="00700CA6"/>
    <w:rsid w:val="0070373C"/>
    <w:rsid w:val="0070432E"/>
    <w:rsid w:val="00705E13"/>
    <w:rsid w:val="007141F8"/>
    <w:rsid w:val="007205B2"/>
    <w:rsid w:val="0072214D"/>
    <w:rsid w:val="00725CBC"/>
    <w:rsid w:val="00727428"/>
    <w:rsid w:val="00740B4D"/>
    <w:rsid w:val="00742637"/>
    <w:rsid w:val="00746584"/>
    <w:rsid w:val="00746CAA"/>
    <w:rsid w:val="00751912"/>
    <w:rsid w:val="00754642"/>
    <w:rsid w:val="007642ED"/>
    <w:rsid w:val="00764EAC"/>
    <w:rsid w:val="0077134A"/>
    <w:rsid w:val="00776B27"/>
    <w:rsid w:val="007809F3"/>
    <w:rsid w:val="00784486"/>
    <w:rsid w:val="00791CF5"/>
    <w:rsid w:val="007942B7"/>
    <w:rsid w:val="00796428"/>
    <w:rsid w:val="007A09A3"/>
    <w:rsid w:val="007A56DC"/>
    <w:rsid w:val="007B3F7D"/>
    <w:rsid w:val="007B66D5"/>
    <w:rsid w:val="007C23C5"/>
    <w:rsid w:val="007C5A6D"/>
    <w:rsid w:val="007C72B4"/>
    <w:rsid w:val="007D22BC"/>
    <w:rsid w:val="007E602B"/>
    <w:rsid w:val="007F24E6"/>
    <w:rsid w:val="0080138E"/>
    <w:rsid w:val="00803386"/>
    <w:rsid w:val="008071F9"/>
    <w:rsid w:val="00807D2F"/>
    <w:rsid w:val="00822C2E"/>
    <w:rsid w:val="008249C9"/>
    <w:rsid w:val="00835544"/>
    <w:rsid w:val="00836621"/>
    <w:rsid w:val="00841D18"/>
    <w:rsid w:val="00847D0C"/>
    <w:rsid w:val="0085001A"/>
    <w:rsid w:val="00852C85"/>
    <w:rsid w:val="00852E1F"/>
    <w:rsid w:val="00854D39"/>
    <w:rsid w:val="008622EE"/>
    <w:rsid w:val="00864489"/>
    <w:rsid w:val="00865A54"/>
    <w:rsid w:val="00872D69"/>
    <w:rsid w:val="00874879"/>
    <w:rsid w:val="00884BD1"/>
    <w:rsid w:val="00884D9C"/>
    <w:rsid w:val="008916C9"/>
    <w:rsid w:val="00891AFE"/>
    <w:rsid w:val="008A15D8"/>
    <w:rsid w:val="008B250B"/>
    <w:rsid w:val="008B7B53"/>
    <w:rsid w:val="008C3A0C"/>
    <w:rsid w:val="008D2D67"/>
    <w:rsid w:val="008D547B"/>
    <w:rsid w:val="008D56B8"/>
    <w:rsid w:val="008E02D8"/>
    <w:rsid w:val="008E0329"/>
    <w:rsid w:val="008E10E9"/>
    <w:rsid w:val="008E1E78"/>
    <w:rsid w:val="008F0B11"/>
    <w:rsid w:val="008F2B13"/>
    <w:rsid w:val="008F4D07"/>
    <w:rsid w:val="008F589F"/>
    <w:rsid w:val="00903381"/>
    <w:rsid w:val="009035E6"/>
    <w:rsid w:val="00904E11"/>
    <w:rsid w:val="00905574"/>
    <w:rsid w:val="00906453"/>
    <w:rsid w:val="00911DB5"/>
    <w:rsid w:val="00914133"/>
    <w:rsid w:val="009176B5"/>
    <w:rsid w:val="009208FB"/>
    <w:rsid w:val="00921C9D"/>
    <w:rsid w:val="0093003C"/>
    <w:rsid w:val="009317BF"/>
    <w:rsid w:val="009404EF"/>
    <w:rsid w:val="00942715"/>
    <w:rsid w:val="00943F01"/>
    <w:rsid w:val="00944A62"/>
    <w:rsid w:val="0094530F"/>
    <w:rsid w:val="0095117B"/>
    <w:rsid w:val="00951BA5"/>
    <w:rsid w:val="00962298"/>
    <w:rsid w:val="009640C9"/>
    <w:rsid w:val="00964D57"/>
    <w:rsid w:val="00972382"/>
    <w:rsid w:val="009723A8"/>
    <w:rsid w:val="00980F67"/>
    <w:rsid w:val="009825E4"/>
    <w:rsid w:val="009973C8"/>
    <w:rsid w:val="009A6118"/>
    <w:rsid w:val="009A7122"/>
    <w:rsid w:val="009B25C1"/>
    <w:rsid w:val="009B2F53"/>
    <w:rsid w:val="009B388D"/>
    <w:rsid w:val="009C1CCA"/>
    <w:rsid w:val="009C1F47"/>
    <w:rsid w:val="009C2790"/>
    <w:rsid w:val="009D021F"/>
    <w:rsid w:val="009D75E1"/>
    <w:rsid w:val="009E0AD0"/>
    <w:rsid w:val="009E33F9"/>
    <w:rsid w:val="009E73B0"/>
    <w:rsid w:val="009F6275"/>
    <w:rsid w:val="00A057D7"/>
    <w:rsid w:val="00A067E0"/>
    <w:rsid w:val="00A077FC"/>
    <w:rsid w:val="00A12071"/>
    <w:rsid w:val="00A12857"/>
    <w:rsid w:val="00A217A1"/>
    <w:rsid w:val="00A2266F"/>
    <w:rsid w:val="00A25D35"/>
    <w:rsid w:val="00A31320"/>
    <w:rsid w:val="00A31E4F"/>
    <w:rsid w:val="00A3348A"/>
    <w:rsid w:val="00A37AE0"/>
    <w:rsid w:val="00A41708"/>
    <w:rsid w:val="00A4391C"/>
    <w:rsid w:val="00A44C86"/>
    <w:rsid w:val="00A467CD"/>
    <w:rsid w:val="00A528B0"/>
    <w:rsid w:val="00A538FA"/>
    <w:rsid w:val="00A55304"/>
    <w:rsid w:val="00A56A7C"/>
    <w:rsid w:val="00A57A9B"/>
    <w:rsid w:val="00A63F03"/>
    <w:rsid w:val="00A828BE"/>
    <w:rsid w:val="00A83ED8"/>
    <w:rsid w:val="00A856F0"/>
    <w:rsid w:val="00A85A38"/>
    <w:rsid w:val="00A92A53"/>
    <w:rsid w:val="00A97856"/>
    <w:rsid w:val="00AA3B3B"/>
    <w:rsid w:val="00AB064A"/>
    <w:rsid w:val="00AB29ED"/>
    <w:rsid w:val="00AB2B3F"/>
    <w:rsid w:val="00AB5673"/>
    <w:rsid w:val="00AB6BBD"/>
    <w:rsid w:val="00AC1942"/>
    <w:rsid w:val="00AD0AB9"/>
    <w:rsid w:val="00AD451B"/>
    <w:rsid w:val="00AE6593"/>
    <w:rsid w:val="00AE6654"/>
    <w:rsid w:val="00AF3C1A"/>
    <w:rsid w:val="00AF51B3"/>
    <w:rsid w:val="00AF612B"/>
    <w:rsid w:val="00AF6806"/>
    <w:rsid w:val="00AF7BD4"/>
    <w:rsid w:val="00B001CB"/>
    <w:rsid w:val="00B10A1D"/>
    <w:rsid w:val="00B1463B"/>
    <w:rsid w:val="00B15901"/>
    <w:rsid w:val="00B30194"/>
    <w:rsid w:val="00B36383"/>
    <w:rsid w:val="00B51F51"/>
    <w:rsid w:val="00B54B3C"/>
    <w:rsid w:val="00B5663F"/>
    <w:rsid w:val="00B725F0"/>
    <w:rsid w:val="00B85E7C"/>
    <w:rsid w:val="00B96650"/>
    <w:rsid w:val="00B97E98"/>
    <w:rsid w:val="00BA4833"/>
    <w:rsid w:val="00BA7173"/>
    <w:rsid w:val="00BA76A3"/>
    <w:rsid w:val="00BB470A"/>
    <w:rsid w:val="00BB5D33"/>
    <w:rsid w:val="00BC1BB8"/>
    <w:rsid w:val="00BC23CC"/>
    <w:rsid w:val="00BC38E2"/>
    <w:rsid w:val="00BC454A"/>
    <w:rsid w:val="00BE4720"/>
    <w:rsid w:val="00BE5498"/>
    <w:rsid w:val="00BF3CC6"/>
    <w:rsid w:val="00BF4856"/>
    <w:rsid w:val="00BF603F"/>
    <w:rsid w:val="00C05384"/>
    <w:rsid w:val="00C10D22"/>
    <w:rsid w:val="00C11398"/>
    <w:rsid w:val="00C115F9"/>
    <w:rsid w:val="00C12442"/>
    <w:rsid w:val="00C16ABD"/>
    <w:rsid w:val="00C2124A"/>
    <w:rsid w:val="00C26FA9"/>
    <w:rsid w:val="00C27231"/>
    <w:rsid w:val="00C302BC"/>
    <w:rsid w:val="00C304DD"/>
    <w:rsid w:val="00C31C41"/>
    <w:rsid w:val="00C42938"/>
    <w:rsid w:val="00C434F0"/>
    <w:rsid w:val="00C44BB6"/>
    <w:rsid w:val="00C51956"/>
    <w:rsid w:val="00C62BD0"/>
    <w:rsid w:val="00C6399E"/>
    <w:rsid w:val="00C63B76"/>
    <w:rsid w:val="00C63EFE"/>
    <w:rsid w:val="00C71305"/>
    <w:rsid w:val="00C855E4"/>
    <w:rsid w:val="00C9183D"/>
    <w:rsid w:val="00C927FD"/>
    <w:rsid w:val="00C94AA8"/>
    <w:rsid w:val="00CA73AD"/>
    <w:rsid w:val="00CB3BED"/>
    <w:rsid w:val="00CC1525"/>
    <w:rsid w:val="00CC3E69"/>
    <w:rsid w:val="00CE5E2C"/>
    <w:rsid w:val="00CE69A3"/>
    <w:rsid w:val="00CF28EF"/>
    <w:rsid w:val="00CF2FDA"/>
    <w:rsid w:val="00D034A1"/>
    <w:rsid w:val="00D05697"/>
    <w:rsid w:val="00D110DD"/>
    <w:rsid w:val="00D169C1"/>
    <w:rsid w:val="00D205B6"/>
    <w:rsid w:val="00D25A69"/>
    <w:rsid w:val="00D26580"/>
    <w:rsid w:val="00D3091E"/>
    <w:rsid w:val="00D34A2A"/>
    <w:rsid w:val="00D35C5E"/>
    <w:rsid w:val="00D41258"/>
    <w:rsid w:val="00D45CDA"/>
    <w:rsid w:val="00D45E59"/>
    <w:rsid w:val="00D5338B"/>
    <w:rsid w:val="00D627A8"/>
    <w:rsid w:val="00D63998"/>
    <w:rsid w:val="00D65C1B"/>
    <w:rsid w:val="00D66467"/>
    <w:rsid w:val="00D73302"/>
    <w:rsid w:val="00D76897"/>
    <w:rsid w:val="00D8342C"/>
    <w:rsid w:val="00D918EA"/>
    <w:rsid w:val="00D96513"/>
    <w:rsid w:val="00DA5C0D"/>
    <w:rsid w:val="00DC6E44"/>
    <w:rsid w:val="00DD3DDD"/>
    <w:rsid w:val="00DD5222"/>
    <w:rsid w:val="00DE0A66"/>
    <w:rsid w:val="00DE6F86"/>
    <w:rsid w:val="00E05648"/>
    <w:rsid w:val="00E11E2A"/>
    <w:rsid w:val="00E17B71"/>
    <w:rsid w:val="00E20AA2"/>
    <w:rsid w:val="00E21599"/>
    <w:rsid w:val="00E253F3"/>
    <w:rsid w:val="00E25785"/>
    <w:rsid w:val="00E33266"/>
    <w:rsid w:val="00E346DF"/>
    <w:rsid w:val="00E45AD5"/>
    <w:rsid w:val="00E47FC4"/>
    <w:rsid w:val="00E60DCD"/>
    <w:rsid w:val="00E617C3"/>
    <w:rsid w:val="00E627FF"/>
    <w:rsid w:val="00E6744F"/>
    <w:rsid w:val="00E67E37"/>
    <w:rsid w:val="00E77762"/>
    <w:rsid w:val="00E802D1"/>
    <w:rsid w:val="00E83B60"/>
    <w:rsid w:val="00E86945"/>
    <w:rsid w:val="00E90B92"/>
    <w:rsid w:val="00E91C92"/>
    <w:rsid w:val="00E97C2D"/>
    <w:rsid w:val="00EA223B"/>
    <w:rsid w:val="00EA4924"/>
    <w:rsid w:val="00EA5BC8"/>
    <w:rsid w:val="00EA5CFB"/>
    <w:rsid w:val="00EB0BA9"/>
    <w:rsid w:val="00EB4372"/>
    <w:rsid w:val="00EC4AB0"/>
    <w:rsid w:val="00EC5B0A"/>
    <w:rsid w:val="00EC7CC2"/>
    <w:rsid w:val="00ED0C54"/>
    <w:rsid w:val="00ED46E4"/>
    <w:rsid w:val="00EE101D"/>
    <w:rsid w:val="00EE6BD9"/>
    <w:rsid w:val="00EF072D"/>
    <w:rsid w:val="00EF234E"/>
    <w:rsid w:val="00EF6F3E"/>
    <w:rsid w:val="00F010E6"/>
    <w:rsid w:val="00F03E43"/>
    <w:rsid w:val="00F07A0D"/>
    <w:rsid w:val="00F222AB"/>
    <w:rsid w:val="00F35D1B"/>
    <w:rsid w:val="00F36AFB"/>
    <w:rsid w:val="00F44813"/>
    <w:rsid w:val="00F4743D"/>
    <w:rsid w:val="00F50C30"/>
    <w:rsid w:val="00F6742A"/>
    <w:rsid w:val="00F72DCC"/>
    <w:rsid w:val="00F73419"/>
    <w:rsid w:val="00F74A23"/>
    <w:rsid w:val="00F77616"/>
    <w:rsid w:val="00F80D87"/>
    <w:rsid w:val="00F8152F"/>
    <w:rsid w:val="00F81AC6"/>
    <w:rsid w:val="00FA0760"/>
    <w:rsid w:val="00FA187A"/>
    <w:rsid w:val="00FA23DB"/>
    <w:rsid w:val="00FA3C80"/>
    <w:rsid w:val="00FA4390"/>
    <w:rsid w:val="00FC406A"/>
    <w:rsid w:val="00FD0FF9"/>
    <w:rsid w:val="00FD1F09"/>
    <w:rsid w:val="00FD7B18"/>
    <w:rsid w:val="00FE38E8"/>
    <w:rsid w:val="00FE42B0"/>
    <w:rsid w:val="00FE5709"/>
    <w:rsid w:val="00FE6C65"/>
    <w:rsid w:val="00FF79B9"/>
    <w:rsid w:val="00FF7C11"/>
    <w:rsid w:val="00FF7C2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AD30B"/>
  <w15:docId w15:val="{E991DC72-794C-4426-92BB-A844E19E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1FF"/>
  </w:style>
  <w:style w:type="paragraph" w:styleId="Nagwek3">
    <w:name w:val="heading 3"/>
    <w:basedOn w:val="Normalny"/>
    <w:link w:val="Nagwek3Znak"/>
    <w:uiPriority w:val="9"/>
    <w:qFormat/>
    <w:rsid w:val="00D627A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Znak Znak,Nagłówek strony nieparzystej Znak,Nagłówek strony,Nagłówek strony1,Nagłówek strony11"/>
    <w:basedOn w:val="Normalny"/>
    <w:link w:val="NagwekZnak"/>
    <w:unhideWhenUsed/>
    <w:rsid w:val="00FF7C24"/>
    <w:pPr>
      <w:tabs>
        <w:tab w:val="center" w:pos="4536"/>
        <w:tab w:val="right" w:pos="9072"/>
      </w:tabs>
      <w:spacing w:after="0" w:line="240" w:lineRule="auto"/>
    </w:pPr>
  </w:style>
  <w:style w:type="character" w:customStyle="1" w:styleId="NagwekZnak">
    <w:name w:val="Nagłówek Znak"/>
    <w:aliases w:val="Nagłówek strony nieparzystej Znak Znak Znak,Nagłówek strony nieparzystej Znak Znak1,Nagłówek strony Znak,Nagłówek strony1 Znak,Nagłówek strony11 Znak"/>
    <w:basedOn w:val="Domylnaczcionkaakapitu"/>
    <w:link w:val="Nagwek"/>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
    <w:basedOn w:val="Normalny"/>
    <w:link w:val="AkapitzlistZnak"/>
    <w:uiPriority w:val="34"/>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semiHidden/>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34"/>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Tabela-Siatka">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5"/>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0">
    <w:name w:val="Nagłówek #5"/>
    <w:basedOn w:val="Normalny"/>
    <w:link w:val="Nagwek5"/>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 w:type="paragraph" w:customStyle="1" w:styleId="Kolorowalistaakcent11">
    <w:name w:val="Kolorowa lista — akcent 11"/>
    <w:basedOn w:val="Normalny"/>
    <w:link w:val="Kolorowalistaakcent1Znak"/>
    <w:qFormat/>
    <w:rsid w:val="008F4D07"/>
    <w:pPr>
      <w:spacing w:before="120" w:after="120" w:line="240" w:lineRule="auto"/>
      <w:ind w:left="708"/>
      <w:jc w:val="both"/>
    </w:pPr>
    <w:rPr>
      <w:rFonts w:ascii="Calibri" w:eastAsia="Calibri" w:hAnsi="Calibri" w:cs="Times New Roman"/>
    </w:rPr>
  </w:style>
  <w:style w:type="character" w:customStyle="1" w:styleId="Kolorowalistaakcent1Znak">
    <w:name w:val="Kolorowa lista — akcent 1 Znak"/>
    <w:link w:val="Kolorowalistaakcent11"/>
    <w:locked/>
    <w:rsid w:val="008F4D07"/>
    <w:rPr>
      <w:rFonts w:ascii="Calibri" w:eastAsia="Calibri" w:hAnsi="Calibri" w:cs="Times New Roman"/>
    </w:rPr>
  </w:style>
  <w:style w:type="character" w:customStyle="1" w:styleId="Bodytext2">
    <w:name w:val="Body text (2)_"/>
    <w:link w:val="Bodytext20"/>
    <w:uiPriority w:val="99"/>
    <w:rsid w:val="008F4D07"/>
    <w:rPr>
      <w:rFonts w:ascii="Trebuchet MS" w:hAnsi="Trebuchet MS" w:cs="Trebuchet MS"/>
      <w:sz w:val="21"/>
      <w:szCs w:val="21"/>
      <w:shd w:val="clear" w:color="auto" w:fill="FFFFFF"/>
    </w:rPr>
  </w:style>
  <w:style w:type="paragraph" w:customStyle="1" w:styleId="Bodytext20">
    <w:name w:val="Body text (2)"/>
    <w:basedOn w:val="Normalny"/>
    <w:link w:val="Bodytext2"/>
    <w:uiPriority w:val="99"/>
    <w:rsid w:val="008F4D07"/>
    <w:pPr>
      <w:widowControl w:val="0"/>
      <w:shd w:val="clear" w:color="auto" w:fill="FFFFFF"/>
      <w:spacing w:before="540" w:after="0" w:line="240" w:lineRule="atLeast"/>
      <w:ind w:hanging="1580"/>
      <w:jc w:val="center"/>
    </w:pPr>
    <w:rPr>
      <w:rFonts w:ascii="Trebuchet MS" w:hAnsi="Trebuchet MS" w:cs="Trebuchet MS"/>
      <w:sz w:val="21"/>
      <w:szCs w:val="21"/>
    </w:rPr>
  </w:style>
  <w:style w:type="paragraph" w:customStyle="1" w:styleId="Wypunktowanie2">
    <w:name w:val="Wypunktowanie2"/>
    <w:basedOn w:val="Normalny"/>
    <w:uiPriority w:val="99"/>
    <w:rsid w:val="008F4D07"/>
    <w:pPr>
      <w:widowControl w:val="0"/>
      <w:tabs>
        <w:tab w:val="num" w:pos="792"/>
      </w:tabs>
      <w:autoSpaceDE w:val="0"/>
      <w:autoSpaceDN w:val="0"/>
      <w:adjustRightInd w:val="0"/>
      <w:spacing w:after="0" w:line="240" w:lineRule="auto"/>
      <w:ind w:left="792" w:hanging="432"/>
    </w:pPr>
    <w:rPr>
      <w:rFonts w:ascii="Times New Roman" w:eastAsia="Times New Roman" w:hAnsi="Times New Roman" w:cs="Times New Roman"/>
      <w:sz w:val="20"/>
      <w:szCs w:val="20"/>
    </w:rPr>
  </w:style>
  <w:style w:type="character" w:customStyle="1" w:styleId="Teksttreci">
    <w:name w:val="Tekst treści_"/>
    <w:basedOn w:val="Domylnaczcionkaakapitu"/>
    <w:link w:val="Teksttreci0"/>
    <w:uiPriority w:val="99"/>
    <w:locked/>
    <w:rsid w:val="004B4D9D"/>
    <w:rPr>
      <w:rFonts w:ascii="Calibri" w:eastAsia="Calibri" w:hAnsi="Calibri" w:cs="Calibri"/>
      <w:sz w:val="25"/>
      <w:szCs w:val="25"/>
      <w:shd w:val="clear" w:color="auto" w:fill="FFFFFF"/>
    </w:rPr>
  </w:style>
  <w:style w:type="paragraph" w:customStyle="1" w:styleId="Teksttreci0">
    <w:name w:val="Tekst treści"/>
    <w:basedOn w:val="Normalny"/>
    <w:link w:val="Teksttreci"/>
    <w:rsid w:val="004B4D9D"/>
    <w:pPr>
      <w:shd w:val="clear" w:color="auto" w:fill="FFFFFF"/>
      <w:spacing w:before="660" w:after="1140" w:line="302" w:lineRule="exact"/>
      <w:ind w:hanging="740"/>
      <w:jc w:val="center"/>
    </w:pPr>
    <w:rPr>
      <w:rFonts w:ascii="Calibri" w:eastAsia="Calibri" w:hAnsi="Calibri" w:cs="Calibri"/>
      <w:sz w:val="25"/>
      <w:szCs w:val="25"/>
    </w:rPr>
  </w:style>
  <w:style w:type="character" w:customStyle="1" w:styleId="Nagwek2">
    <w:name w:val="Nagłówek #2_"/>
    <w:basedOn w:val="Domylnaczcionkaakapitu"/>
    <w:link w:val="Nagwek20"/>
    <w:locked/>
    <w:rsid w:val="004B4D9D"/>
    <w:rPr>
      <w:rFonts w:ascii="Calibri" w:eastAsia="Calibri" w:hAnsi="Calibri" w:cs="Calibri"/>
      <w:sz w:val="25"/>
      <w:szCs w:val="25"/>
      <w:shd w:val="clear" w:color="auto" w:fill="FFFFFF"/>
    </w:rPr>
  </w:style>
  <w:style w:type="paragraph" w:customStyle="1" w:styleId="Nagwek20">
    <w:name w:val="Nagłówek #2"/>
    <w:basedOn w:val="Normalny"/>
    <w:link w:val="Nagwek2"/>
    <w:rsid w:val="004B4D9D"/>
    <w:pPr>
      <w:shd w:val="clear" w:color="auto" w:fill="FFFFFF"/>
      <w:spacing w:after="360" w:line="0" w:lineRule="atLeast"/>
      <w:ind w:hanging="900"/>
      <w:jc w:val="both"/>
      <w:outlineLvl w:val="1"/>
    </w:pPr>
    <w:rPr>
      <w:rFonts w:ascii="Calibri" w:eastAsia="Calibri" w:hAnsi="Calibri" w:cs="Calibri"/>
      <w:sz w:val="25"/>
      <w:szCs w:val="25"/>
    </w:rPr>
  </w:style>
  <w:style w:type="character" w:customStyle="1" w:styleId="TeksttreciPogrubienie">
    <w:name w:val="Tekst treści + Pogrubienie"/>
    <w:basedOn w:val="Domylnaczcionkaakapitu"/>
    <w:rsid w:val="004B4D9D"/>
    <w:rPr>
      <w:rFonts w:ascii="Calibri" w:eastAsia="Calibri" w:hAnsi="Calibri" w:cs="Calibri" w:hint="default"/>
      <w:b/>
      <w:bCs/>
      <w:i w:val="0"/>
      <w:iCs w:val="0"/>
      <w:smallCaps w:val="0"/>
      <w:strike w:val="0"/>
      <w:dstrike w:val="0"/>
      <w:spacing w:val="0"/>
      <w:sz w:val="25"/>
      <w:szCs w:val="25"/>
      <w:u w:val="none"/>
      <w:effect w:val="none"/>
    </w:rPr>
  </w:style>
  <w:style w:type="character" w:customStyle="1" w:styleId="Teksttreci7">
    <w:name w:val="Tekst treści (7)_"/>
    <w:basedOn w:val="Domylnaczcionkaakapitu"/>
    <w:link w:val="Teksttreci70"/>
    <w:rsid w:val="004B4D9D"/>
    <w:rPr>
      <w:rFonts w:ascii="Calibri" w:eastAsia="Calibri" w:hAnsi="Calibri" w:cs="Calibri"/>
      <w:sz w:val="25"/>
      <w:szCs w:val="25"/>
      <w:shd w:val="clear" w:color="auto" w:fill="FFFFFF"/>
    </w:rPr>
  </w:style>
  <w:style w:type="character" w:customStyle="1" w:styleId="Nagwek1Odstpy2pt">
    <w:name w:val="Nagłówek #1 + Odstępy 2 pt"/>
    <w:basedOn w:val="Nagwek1"/>
    <w:rsid w:val="004B4D9D"/>
    <w:rPr>
      <w:rFonts w:ascii="Calibri" w:eastAsia="Calibri" w:hAnsi="Calibri" w:cs="Calibri"/>
      <w:b w:val="0"/>
      <w:bCs w:val="0"/>
      <w:i w:val="0"/>
      <w:iCs w:val="0"/>
      <w:smallCaps w:val="0"/>
      <w:strike w:val="0"/>
      <w:spacing w:val="50"/>
      <w:sz w:val="25"/>
      <w:szCs w:val="25"/>
      <w:shd w:val="clear" w:color="auto" w:fill="FFFFFF"/>
    </w:rPr>
  </w:style>
  <w:style w:type="character" w:customStyle="1" w:styleId="Nagwek12">
    <w:name w:val="Nagłówek #1 (2)_"/>
    <w:basedOn w:val="Domylnaczcionkaakapitu"/>
    <w:link w:val="Nagwek120"/>
    <w:rsid w:val="004B4D9D"/>
    <w:rPr>
      <w:rFonts w:ascii="Tahoma" w:eastAsia="Tahoma" w:hAnsi="Tahoma" w:cs="Tahoma"/>
      <w:spacing w:val="50"/>
      <w:sz w:val="20"/>
      <w:szCs w:val="20"/>
      <w:shd w:val="clear" w:color="auto" w:fill="FFFFFF"/>
    </w:rPr>
  </w:style>
  <w:style w:type="character" w:customStyle="1" w:styleId="Nagwek13">
    <w:name w:val="Nagłówek #1 (3)_"/>
    <w:basedOn w:val="Domylnaczcionkaakapitu"/>
    <w:link w:val="Nagwek130"/>
    <w:rsid w:val="004B4D9D"/>
    <w:rPr>
      <w:rFonts w:ascii="Calibri" w:eastAsia="Calibri" w:hAnsi="Calibri" w:cs="Calibri"/>
      <w:spacing w:val="60"/>
      <w:shd w:val="clear" w:color="auto" w:fill="FFFFFF"/>
    </w:rPr>
  </w:style>
  <w:style w:type="character" w:customStyle="1" w:styleId="Nagwek14">
    <w:name w:val="Nagłówek #1 (4)_"/>
    <w:basedOn w:val="Domylnaczcionkaakapitu"/>
    <w:link w:val="Nagwek140"/>
    <w:rsid w:val="004B4D9D"/>
    <w:rPr>
      <w:rFonts w:ascii="Calibri" w:eastAsia="Calibri" w:hAnsi="Calibri" w:cs="Calibri"/>
      <w:spacing w:val="50"/>
      <w:shd w:val="clear" w:color="auto" w:fill="FFFFFF"/>
    </w:rPr>
  </w:style>
  <w:style w:type="character" w:customStyle="1" w:styleId="TeksttreciOdstpy1pt">
    <w:name w:val="Tekst treści + Odstępy 1 pt"/>
    <w:basedOn w:val="Teksttreci"/>
    <w:rsid w:val="004B4D9D"/>
    <w:rPr>
      <w:rFonts w:ascii="Calibri" w:eastAsia="Calibri" w:hAnsi="Calibri" w:cs="Calibri"/>
      <w:b w:val="0"/>
      <w:bCs w:val="0"/>
      <w:i w:val="0"/>
      <w:iCs w:val="0"/>
      <w:smallCaps w:val="0"/>
      <w:strike w:val="0"/>
      <w:spacing w:val="20"/>
      <w:sz w:val="25"/>
      <w:szCs w:val="25"/>
      <w:shd w:val="clear" w:color="auto" w:fill="FFFFFF"/>
    </w:rPr>
  </w:style>
  <w:style w:type="character" w:customStyle="1" w:styleId="Nagwek15">
    <w:name w:val="Nagłówek #1 (5)_"/>
    <w:basedOn w:val="Domylnaczcionkaakapitu"/>
    <w:link w:val="Nagwek150"/>
    <w:rsid w:val="004B4D9D"/>
    <w:rPr>
      <w:rFonts w:ascii="Calibri" w:eastAsia="Calibri" w:hAnsi="Calibri" w:cs="Calibri"/>
      <w:spacing w:val="60"/>
      <w:shd w:val="clear" w:color="auto" w:fill="FFFFFF"/>
    </w:rPr>
  </w:style>
  <w:style w:type="paragraph" w:customStyle="1" w:styleId="Teksttreci70">
    <w:name w:val="Tekst treści (7)"/>
    <w:basedOn w:val="Normalny"/>
    <w:link w:val="Teksttreci7"/>
    <w:rsid w:val="004B4D9D"/>
    <w:pPr>
      <w:shd w:val="clear" w:color="auto" w:fill="FFFFFF"/>
      <w:spacing w:after="0" w:line="299" w:lineRule="exact"/>
      <w:ind w:hanging="260"/>
      <w:jc w:val="both"/>
    </w:pPr>
    <w:rPr>
      <w:rFonts w:ascii="Calibri" w:eastAsia="Calibri" w:hAnsi="Calibri" w:cs="Calibri"/>
      <w:sz w:val="25"/>
      <w:szCs w:val="25"/>
    </w:rPr>
  </w:style>
  <w:style w:type="paragraph" w:customStyle="1" w:styleId="Nagwek120">
    <w:name w:val="Nagłówek #1 (2)"/>
    <w:basedOn w:val="Normalny"/>
    <w:link w:val="Nagwek12"/>
    <w:rsid w:val="004B4D9D"/>
    <w:pPr>
      <w:shd w:val="clear" w:color="auto" w:fill="FFFFFF"/>
      <w:spacing w:before="480" w:after="240" w:line="0" w:lineRule="atLeast"/>
      <w:jc w:val="center"/>
      <w:outlineLvl w:val="0"/>
    </w:pPr>
    <w:rPr>
      <w:rFonts w:ascii="Tahoma" w:eastAsia="Tahoma" w:hAnsi="Tahoma" w:cs="Tahoma"/>
      <w:spacing w:val="50"/>
      <w:sz w:val="20"/>
      <w:szCs w:val="20"/>
    </w:rPr>
  </w:style>
  <w:style w:type="paragraph" w:customStyle="1" w:styleId="Nagwek130">
    <w:name w:val="Nagłówek #1 (3)"/>
    <w:basedOn w:val="Normalny"/>
    <w:link w:val="Nagwek13"/>
    <w:rsid w:val="004B4D9D"/>
    <w:pPr>
      <w:shd w:val="clear" w:color="auto" w:fill="FFFFFF"/>
      <w:spacing w:before="480" w:after="180" w:line="0" w:lineRule="atLeast"/>
      <w:outlineLvl w:val="0"/>
    </w:pPr>
    <w:rPr>
      <w:rFonts w:ascii="Calibri" w:eastAsia="Calibri" w:hAnsi="Calibri" w:cs="Calibri"/>
      <w:spacing w:val="60"/>
    </w:rPr>
  </w:style>
  <w:style w:type="paragraph" w:customStyle="1" w:styleId="Nagwek140">
    <w:name w:val="Nagłówek #1 (4)"/>
    <w:basedOn w:val="Normalny"/>
    <w:link w:val="Nagwek14"/>
    <w:rsid w:val="004B4D9D"/>
    <w:pPr>
      <w:shd w:val="clear" w:color="auto" w:fill="FFFFFF"/>
      <w:spacing w:before="360" w:after="180" w:line="0" w:lineRule="atLeast"/>
      <w:outlineLvl w:val="0"/>
    </w:pPr>
    <w:rPr>
      <w:rFonts w:ascii="Calibri" w:eastAsia="Calibri" w:hAnsi="Calibri" w:cs="Calibri"/>
      <w:spacing w:val="50"/>
    </w:rPr>
  </w:style>
  <w:style w:type="paragraph" w:customStyle="1" w:styleId="Nagwek150">
    <w:name w:val="Nagłówek #1 (5)"/>
    <w:basedOn w:val="Normalny"/>
    <w:link w:val="Nagwek15"/>
    <w:rsid w:val="004B4D9D"/>
    <w:pPr>
      <w:shd w:val="clear" w:color="auto" w:fill="FFFFFF"/>
      <w:spacing w:before="480" w:after="180" w:line="0" w:lineRule="atLeast"/>
      <w:outlineLvl w:val="0"/>
    </w:pPr>
    <w:rPr>
      <w:rFonts w:ascii="Calibri" w:eastAsia="Calibri" w:hAnsi="Calibri" w:cs="Calibri"/>
      <w:spacing w:val="60"/>
    </w:rPr>
  </w:style>
  <w:style w:type="character" w:customStyle="1" w:styleId="Nierozpoznanawzmianka2">
    <w:name w:val="Nierozpoznana wzmianka2"/>
    <w:basedOn w:val="Domylnaczcionkaakapitu"/>
    <w:uiPriority w:val="99"/>
    <w:semiHidden/>
    <w:unhideWhenUsed/>
    <w:rsid w:val="00255FA9"/>
    <w:rPr>
      <w:color w:val="605E5C"/>
      <w:shd w:val="clear" w:color="auto" w:fill="E1DFDD"/>
    </w:rPr>
  </w:style>
  <w:style w:type="character" w:customStyle="1" w:styleId="Nagwek3Znak">
    <w:name w:val="Nagłówek 3 Znak"/>
    <w:basedOn w:val="Domylnaczcionkaakapitu"/>
    <w:link w:val="Nagwek3"/>
    <w:uiPriority w:val="9"/>
    <w:rsid w:val="00D627A8"/>
    <w:rPr>
      <w:rFonts w:ascii="Times New Roman" w:eastAsia="Times New Roman" w:hAnsi="Times New Roman" w:cs="Times New Roman"/>
      <w:b/>
      <w:bCs/>
      <w:sz w:val="27"/>
      <w:szCs w:val="27"/>
      <w:lang w:eastAsia="pl-PL"/>
    </w:rPr>
  </w:style>
  <w:style w:type="paragraph" w:customStyle="1" w:styleId="Teksttreci1">
    <w:name w:val="Tekst treści1"/>
    <w:basedOn w:val="Normalny"/>
    <w:uiPriority w:val="99"/>
    <w:rsid w:val="00605AD2"/>
    <w:pPr>
      <w:shd w:val="clear" w:color="auto" w:fill="FFFFFF"/>
      <w:spacing w:after="0" w:line="240" w:lineRule="atLeast"/>
      <w:ind w:hanging="1520"/>
    </w:pPr>
    <w:rPr>
      <w:rFonts w:ascii="Calibri" w:eastAsia="Times New Roman" w:hAnsi="Calibri" w:cs="Calibri"/>
      <w:sz w:val="20"/>
      <w:szCs w:val="20"/>
      <w:lang w:eastAsia="pl-PL"/>
    </w:rPr>
  </w:style>
  <w:style w:type="paragraph" w:customStyle="1" w:styleId="Default">
    <w:name w:val="Default"/>
    <w:rsid w:val="00AF612B"/>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872865">
      <w:bodyDiv w:val="1"/>
      <w:marLeft w:val="0"/>
      <w:marRight w:val="0"/>
      <w:marTop w:val="0"/>
      <w:marBottom w:val="0"/>
      <w:divBdr>
        <w:top w:val="none" w:sz="0" w:space="0" w:color="auto"/>
        <w:left w:val="none" w:sz="0" w:space="0" w:color="auto"/>
        <w:bottom w:val="none" w:sz="0" w:space="0" w:color="auto"/>
        <w:right w:val="none" w:sz="0" w:space="0" w:color="auto"/>
      </w:divBdr>
    </w:div>
    <w:div w:id="1183517843">
      <w:bodyDiv w:val="1"/>
      <w:marLeft w:val="0"/>
      <w:marRight w:val="0"/>
      <w:marTop w:val="0"/>
      <w:marBottom w:val="0"/>
      <w:divBdr>
        <w:top w:val="none" w:sz="0" w:space="0" w:color="auto"/>
        <w:left w:val="none" w:sz="0" w:space="0" w:color="auto"/>
        <w:bottom w:val="none" w:sz="0" w:space="0" w:color="auto"/>
        <w:right w:val="none" w:sz="0" w:space="0" w:color="auto"/>
      </w:divBdr>
    </w:div>
    <w:div w:id="13988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i2tqobzg42tgltqmfyc4mztge3donjtha" TargetMode="External"/><Relationship Id="rId4" Type="http://schemas.openxmlformats.org/officeDocument/2006/relationships/settings" Target="settings.xml"/><Relationship Id="rId9" Type="http://schemas.openxmlformats.org/officeDocument/2006/relationships/hyperlink" Target="mailto:iod@gu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1DE3-5996-43B2-A098-79BD17C2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6222</Words>
  <Characters>37335</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Kaczorowska</dc:creator>
  <cp:lastModifiedBy>Monika Pancer</cp:lastModifiedBy>
  <cp:revision>3</cp:revision>
  <cp:lastPrinted>2019-01-18T09:30:00Z</cp:lastPrinted>
  <dcterms:created xsi:type="dcterms:W3CDTF">2020-12-29T09:52:00Z</dcterms:created>
  <dcterms:modified xsi:type="dcterms:W3CDTF">2020-12-29T13:07:00Z</dcterms:modified>
</cp:coreProperties>
</file>